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4DE67F" w14:textId="21B9A7D2" w:rsidR="00DD3D9E" w:rsidRPr="00A936A6" w:rsidRDefault="00023F16">
      <w:pPr>
        <w:pStyle w:val="Els-Title"/>
        <w:rPr>
          <w:color w:val="000000" w:themeColor="text1"/>
        </w:rPr>
      </w:pPr>
      <w:r>
        <w:rPr>
          <w:rFonts w:ascii="Arial" w:hAnsi="Arial" w:cs="Arial"/>
          <w:color w:val="000000"/>
          <w:sz w:val="27"/>
          <w:szCs w:val="27"/>
          <w:shd w:val="clear" w:color="auto" w:fill="FFFFFF"/>
        </w:rPr>
        <w:t>A Conceptual Design and Economic Assessment of a Chitin Biorefinery Based on Shrimp Processing Wastes</w:t>
      </w:r>
    </w:p>
    <w:p w14:paraId="5409FC6C" w14:textId="61655620" w:rsidR="00214BAB" w:rsidRPr="00875B64" w:rsidRDefault="00875B64" w:rsidP="00214BAB">
      <w:pPr>
        <w:pStyle w:val="Els-Author"/>
        <w:rPr>
          <w:vertAlign w:val="superscript"/>
          <w:lang w:val="pt-BR"/>
        </w:rPr>
      </w:pPr>
      <w:r w:rsidRPr="00875B64">
        <w:rPr>
          <w:lang w:val="pt-BR"/>
        </w:rPr>
        <w:t>Ana Carolina Moreira Fonseca,</w:t>
      </w:r>
      <w:r w:rsidRPr="00875B64">
        <w:rPr>
          <w:vertAlign w:val="superscript"/>
          <w:lang w:val="pt-BR"/>
        </w:rPr>
        <w:t>a</w:t>
      </w:r>
      <w:r>
        <w:rPr>
          <w:vertAlign w:val="superscript"/>
          <w:lang w:val="pt-BR"/>
        </w:rPr>
        <w:t>*</w:t>
      </w:r>
      <w:r w:rsidR="00DB30B0" w:rsidRPr="00DB30B0">
        <w:rPr>
          <w:lang w:val="pt-BR"/>
        </w:rPr>
        <w:t xml:space="preserve"> Bruno Faccini Santoro</w:t>
      </w:r>
      <w:r w:rsidR="00DB30B0">
        <w:rPr>
          <w:lang w:val="pt-BR"/>
        </w:rPr>
        <w:t>,</w:t>
      </w:r>
      <w:r w:rsidR="00DB30B0">
        <w:rPr>
          <w:vertAlign w:val="superscript"/>
          <w:lang w:val="pt-BR"/>
        </w:rPr>
        <w:t>b</w:t>
      </w:r>
      <w:r w:rsidR="00DB30B0">
        <w:rPr>
          <w:lang w:val="pt-BR"/>
        </w:rPr>
        <w:t xml:space="preserve"> </w:t>
      </w:r>
      <w:r w:rsidR="00DB30B0" w:rsidRPr="00DB30B0">
        <w:rPr>
          <w:lang w:val="pt-BR"/>
        </w:rPr>
        <w:t>Omar José Guerra Fernández</w:t>
      </w:r>
      <w:r w:rsidR="00DB30B0">
        <w:rPr>
          <w:lang w:val="pt-BR"/>
        </w:rPr>
        <w:t>,</w:t>
      </w:r>
      <w:r w:rsidR="00DB30B0">
        <w:rPr>
          <w:vertAlign w:val="superscript"/>
          <w:lang w:val="pt-BR"/>
        </w:rPr>
        <w:t>c</w:t>
      </w:r>
      <w:r>
        <w:rPr>
          <w:vertAlign w:val="superscript"/>
          <w:lang w:val="pt-BR"/>
        </w:rPr>
        <w:t xml:space="preserve"> </w:t>
      </w:r>
      <w:r>
        <w:rPr>
          <w:lang w:val="pt-BR"/>
        </w:rPr>
        <w:t>Moisés Teles dos Santos</w:t>
      </w:r>
      <w:r w:rsidR="00E11E29">
        <w:rPr>
          <w:lang w:val="pt-BR"/>
        </w:rPr>
        <w:t>,</w:t>
      </w:r>
      <w:r>
        <w:rPr>
          <w:vertAlign w:val="superscript"/>
          <w:lang w:val="pt-BR"/>
        </w:rPr>
        <w:t>a</w:t>
      </w:r>
    </w:p>
    <w:p w14:paraId="144DE682" w14:textId="77D571E2" w:rsidR="00DD3D9E" w:rsidRPr="00A01472" w:rsidRDefault="00875B64">
      <w:pPr>
        <w:pStyle w:val="Els-Affiliation"/>
        <w:rPr>
          <w:rFonts w:ascii="Arial" w:hAnsi="Arial" w:cs="Arial"/>
          <w:color w:val="707070"/>
          <w:sz w:val="18"/>
          <w:lang w:val="pt-BR"/>
        </w:rPr>
      </w:pPr>
      <w:r w:rsidRPr="00C32604">
        <w:rPr>
          <w:sz w:val="18"/>
          <w:vertAlign w:val="superscript"/>
          <w:lang w:val="pt-BR"/>
        </w:rPr>
        <w:t>a</w:t>
      </w:r>
      <w:r w:rsidRPr="00C32604">
        <w:rPr>
          <w:rFonts w:ascii="Arial" w:hAnsi="Arial" w:cs="Arial"/>
          <w:color w:val="707070"/>
          <w:sz w:val="18"/>
          <w:lang w:val="pt-BR"/>
        </w:rPr>
        <w:t xml:space="preserve"> Department of Chemical Engineering, </w:t>
      </w:r>
      <w:r w:rsidR="00C86895" w:rsidRPr="00C32604">
        <w:rPr>
          <w:rFonts w:ascii="Arial" w:hAnsi="Arial" w:cs="Arial"/>
          <w:color w:val="707070"/>
          <w:sz w:val="18"/>
          <w:lang w:val="pt-BR"/>
        </w:rPr>
        <w:t>Escola Politécnica</w:t>
      </w:r>
      <w:r w:rsidR="00A41BF8" w:rsidRPr="00C32604">
        <w:rPr>
          <w:rFonts w:ascii="Arial" w:hAnsi="Arial" w:cs="Arial"/>
          <w:color w:val="707070"/>
          <w:sz w:val="18"/>
          <w:lang w:val="pt-BR"/>
        </w:rPr>
        <w:t>, Universidade de</w:t>
      </w:r>
      <w:r w:rsidR="00B86E82">
        <w:rPr>
          <w:rFonts w:ascii="Arial" w:hAnsi="Arial" w:cs="Arial"/>
          <w:color w:val="707070"/>
          <w:sz w:val="18"/>
          <w:lang w:val="pt-BR"/>
        </w:rPr>
        <w:t xml:space="preserve"> Sã</w:t>
      </w:r>
      <w:r w:rsidRPr="00C32604">
        <w:rPr>
          <w:rFonts w:ascii="Arial" w:hAnsi="Arial" w:cs="Arial"/>
          <w:color w:val="707070"/>
          <w:sz w:val="18"/>
          <w:lang w:val="pt-BR"/>
        </w:rPr>
        <w:t xml:space="preserve">o Paulo, </w:t>
      </w:r>
      <w:r w:rsidR="00A41BF8" w:rsidRPr="00C32604">
        <w:rPr>
          <w:rFonts w:ascii="Arial" w:hAnsi="Arial" w:cs="Arial"/>
          <w:color w:val="707070"/>
          <w:sz w:val="18"/>
          <w:lang w:val="pt-BR"/>
        </w:rPr>
        <w:t xml:space="preserve">Av. </w:t>
      </w:r>
      <w:r w:rsidR="00A41BF8" w:rsidRPr="00324DD3">
        <w:rPr>
          <w:rFonts w:ascii="Arial" w:hAnsi="Arial" w:cs="Arial"/>
          <w:color w:val="707070"/>
          <w:sz w:val="18"/>
          <w:lang w:val="pt-BR"/>
        </w:rPr>
        <w:t xml:space="preserve">Prof. Luciano Gualberto, trav. </w:t>
      </w:r>
      <w:r w:rsidR="00A41BF8" w:rsidRPr="00A01472">
        <w:rPr>
          <w:rFonts w:ascii="Arial" w:hAnsi="Arial" w:cs="Arial"/>
          <w:color w:val="707070"/>
          <w:sz w:val="18"/>
          <w:lang w:val="pt-BR"/>
        </w:rPr>
        <w:t>3, n. 380, São Paulo</w:t>
      </w:r>
      <w:r w:rsidR="00DB30B0" w:rsidRPr="00A01472">
        <w:rPr>
          <w:rFonts w:ascii="Arial" w:hAnsi="Arial" w:cs="Arial"/>
          <w:color w:val="707070"/>
          <w:sz w:val="18"/>
          <w:lang w:val="pt-BR"/>
        </w:rPr>
        <w:t xml:space="preserve">, </w:t>
      </w:r>
      <w:r w:rsidR="00A41BF8" w:rsidRPr="00A01472">
        <w:rPr>
          <w:rFonts w:ascii="Arial" w:hAnsi="Arial" w:cs="Arial"/>
          <w:color w:val="707070"/>
          <w:sz w:val="18"/>
          <w:lang w:val="pt-BR"/>
        </w:rPr>
        <w:t xml:space="preserve">05508-010, </w:t>
      </w:r>
      <w:r w:rsidRPr="00A01472">
        <w:rPr>
          <w:rFonts w:ascii="Arial" w:hAnsi="Arial" w:cs="Arial"/>
          <w:color w:val="707070"/>
          <w:sz w:val="18"/>
          <w:lang w:val="pt-BR"/>
        </w:rPr>
        <w:t>Brazil</w:t>
      </w:r>
    </w:p>
    <w:p w14:paraId="07A5E989" w14:textId="55530459" w:rsidR="00DB30B0" w:rsidRPr="003D36A3" w:rsidRDefault="00DB30B0" w:rsidP="00DB30B0">
      <w:pPr>
        <w:pStyle w:val="Els-Affiliation"/>
        <w:rPr>
          <w:rFonts w:ascii="Arial" w:hAnsi="Arial" w:cs="Arial"/>
          <w:color w:val="707070"/>
          <w:sz w:val="18"/>
          <w:lang w:val="en-US"/>
        </w:rPr>
      </w:pPr>
      <w:r w:rsidRPr="00C32604">
        <w:rPr>
          <w:rFonts w:ascii="Arial" w:hAnsi="Arial" w:cs="Arial"/>
          <w:color w:val="707070"/>
          <w:sz w:val="18"/>
          <w:vertAlign w:val="superscript"/>
          <w:lang w:val="pt-BR"/>
        </w:rPr>
        <w:t>b</w:t>
      </w:r>
      <w:r w:rsidRPr="00C32604">
        <w:rPr>
          <w:sz w:val="18"/>
          <w:lang w:val="pt-BR"/>
        </w:rPr>
        <w:t xml:space="preserve"> </w:t>
      </w:r>
      <w:r w:rsidRPr="00C32604">
        <w:rPr>
          <w:rFonts w:ascii="Arial" w:hAnsi="Arial" w:cs="Arial"/>
          <w:color w:val="707070"/>
          <w:sz w:val="18"/>
          <w:lang w:val="pt-BR"/>
        </w:rPr>
        <w:t xml:space="preserve">OP2B - Soluções para Otimização de Negócios Ltda. </w:t>
      </w:r>
      <w:r w:rsidRPr="003D36A3">
        <w:rPr>
          <w:rFonts w:ascii="Arial" w:hAnsi="Arial" w:cs="Arial"/>
          <w:color w:val="707070"/>
          <w:sz w:val="18"/>
          <w:lang w:val="en-US"/>
        </w:rPr>
        <w:t>Avenida</w:t>
      </w:r>
      <w:r w:rsidR="006E19B2" w:rsidRPr="003D36A3">
        <w:rPr>
          <w:rFonts w:ascii="Arial" w:hAnsi="Arial" w:cs="Arial"/>
          <w:color w:val="707070"/>
          <w:sz w:val="18"/>
          <w:lang w:val="en-US"/>
        </w:rPr>
        <w:t xml:space="preserve"> Pompeia, 723</w:t>
      </w:r>
      <w:r w:rsidR="00B86E82">
        <w:rPr>
          <w:rFonts w:ascii="Arial" w:hAnsi="Arial" w:cs="Arial"/>
          <w:color w:val="707070"/>
          <w:sz w:val="18"/>
          <w:lang w:val="en-US"/>
        </w:rPr>
        <w:t>, Sã</w:t>
      </w:r>
      <w:r w:rsidRPr="003D36A3">
        <w:rPr>
          <w:rFonts w:ascii="Arial" w:hAnsi="Arial" w:cs="Arial"/>
          <w:color w:val="707070"/>
          <w:sz w:val="18"/>
          <w:lang w:val="en-US"/>
        </w:rPr>
        <w:t xml:space="preserve">o Paulo, </w:t>
      </w:r>
      <w:r w:rsidR="006E19B2" w:rsidRPr="003D36A3">
        <w:rPr>
          <w:rFonts w:ascii="Arial" w:hAnsi="Arial" w:cs="Arial"/>
          <w:color w:val="707070"/>
          <w:sz w:val="18"/>
          <w:lang w:val="en-US"/>
        </w:rPr>
        <w:t>05023-000</w:t>
      </w:r>
      <w:r w:rsidR="006D3E68" w:rsidRPr="003D36A3">
        <w:rPr>
          <w:rFonts w:ascii="Arial" w:hAnsi="Arial" w:cs="Arial"/>
          <w:color w:val="707070"/>
          <w:sz w:val="18"/>
          <w:lang w:val="en-US"/>
        </w:rPr>
        <w:t>, Braz</w:t>
      </w:r>
      <w:r w:rsidRPr="003D36A3">
        <w:rPr>
          <w:rFonts w:ascii="Arial" w:hAnsi="Arial" w:cs="Arial"/>
          <w:color w:val="707070"/>
          <w:sz w:val="18"/>
          <w:lang w:val="en-US"/>
        </w:rPr>
        <w:t>il</w:t>
      </w:r>
    </w:p>
    <w:p w14:paraId="4B47F9CC" w14:textId="77777777" w:rsidR="00DB30B0" w:rsidRPr="00C32604" w:rsidRDefault="00DB30B0" w:rsidP="00DB30B0">
      <w:pPr>
        <w:pStyle w:val="Els-Affiliation"/>
        <w:rPr>
          <w:rFonts w:ascii="Arial" w:hAnsi="Arial" w:cs="Arial"/>
          <w:color w:val="707070"/>
          <w:sz w:val="18"/>
          <w:lang w:val="en-US"/>
        </w:rPr>
      </w:pPr>
      <w:r w:rsidRPr="00C32604">
        <w:rPr>
          <w:rFonts w:ascii="Arial" w:hAnsi="Arial" w:cs="Arial"/>
          <w:color w:val="707070"/>
          <w:sz w:val="18"/>
          <w:vertAlign w:val="superscript"/>
          <w:lang w:val="en-US"/>
        </w:rPr>
        <w:t>c</w:t>
      </w:r>
      <w:r w:rsidRPr="00C32604">
        <w:rPr>
          <w:sz w:val="18"/>
        </w:rPr>
        <w:t xml:space="preserve"> </w:t>
      </w:r>
      <w:r w:rsidRPr="00C32604">
        <w:rPr>
          <w:rFonts w:ascii="Arial" w:hAnsi="Arial" w:cs="Arial"/>
          <w:color w:val="707070"/>
          <w:sz w:val="18"/>
          <w:lang w:val="en-US"/>
        </w:rPr>
        <w:t>National Renewable Energy Laboratory, 15013 Denver West Parkway</w:t>
      </w:r>
    </w:p>
    <w:p w14:paraId="7948A0E3" w14:textId="305F5F4C" w:rsidR="00DB30B0" w:rsidRPr="00C32604" w:rsidRDefault="00DB30B0" w:rsidP="00DB30B0">
      <w:pPr>
        <w:pStyle w:val="Els-Affiliation"/>
        <w:rPr>
          <w:rFonts w:ascii="Arial" w:hAnsi="Arial" w:cs="Arial"/>
          <w:color w:val="707070"/>
          <w:sz w:val="18"/>
          <w:lang w:val="en-US"/>
        </w:rPr>
      </w:pPr>
      <w:r w:rsidRPr="00C32604">
        <w:rPr>
          <w:rFonts w:ascii="Arial" w:hAnsi="Arial" w:cs="Arial"/>
          <w:color w:val="707070"/>
          <w:sz w:val="18"/>
          <w:lang w:val="en-US"/>
        </w:rPr>
        <w:t>Golden, CO 80401, 303-275-3000</w:t>
      </w:r>
    </w:p>
    <w:p w14:paraId="144DE683" w14:textId="4252710D" w:rsidR="008D2649" w:rsidRPr="00C32604" w:rsidRDefault="00A5555C" w:rsidP="008D2649">
      <w:pPr>
        <w:pStyle w:val="Els-Affiliation"/>
        <w:spacing w:after="120"/>
        <w:rPr>
          <w:sz w:val="18"/>
          <w:lang w:val="en-US"/>
        </w:rPr>
      </w:pPr>
      <w:r w:rsidRPr="00C32604">
        <w:rPr>
          <w:sz w:val="18"/>
          <w:vertAlign w:val="superscript"/>
          <w:lang w:val="en-US"/>
        </w:rPr>
        <w:t>*</w:t>
      </w:r>
      <w:r w:rsidRPr="00C32604">
        <w:rPr>
          <w:sz w:val="18"/>
          <w:lang w:val="en-US"/>
        </w:rPr>
        <w:t>acmfonseca@usp.br</w:t>
      </w:r>
    </w:p>
    <w:p w14:paraId="144DE684" w14:textId="77777777" w:rsidR="008D2649" w:rsidRPr="00A936A6" w:rsidRDefault="008D2649" w:rsidP="008D2649">
      <w:pPr>
        <w:pStyle w:val="Els-Abstract"/>
      </w:pPr>
      <w:r w:rsidRPr="00A936A6">
        <w:t>Abstract</w:t>
      </w:r>
    </w:p>
    <w:p w14:paraId="329FF0A0" w14:textId="45048EF3" w:rsidR="00270E4F" w:rsidRDefault="00270E4F" w:rsidP="008D2649">
      <w:pPr>
        <w:pStyle w:val="Els-body-text"/>
        <w:spacing w:after="120"/>
      </w:pPr>
      <w:r w:rsidRPr="00270E4F">
        <w:t>Due to the extensive production of shrimp in captivity, waste generation has increased significantly and has b</w:t>
      </w:r>
      <w:r>
        <w:t>ecome an environmental problem. The recovery of</w:t>
      </w:r>
      <w:r w:rsidRPr="00270E4F">
        <w:t xml:space="preserve"> biomolecules can be an important way to mitigate the environmental problems associated with processing in this sector. In this sense, the present work aimed to evaluate a biorefinery approach for valuing shrimp farming waste to obtain astaxanthin, chitin and chitosan. Stoichiometric segmentation </w:t>
      </w:r>
      <w:proofErr w:type="gramStart"/>
      <w:r w:rsidRPr="00270E4F">
        <w:t>was used</w:t>
      </w:r>
      <w:proofErr w:type="gramEnd"/>
      <w:r w:rsidRPr="00270E4F">
        <w:t xml:space="preserve"> as a tool to identify the process steps, whose information on process variables (fresh water consumption, flow rate and reaction conditions) was adapted from the literature. A biorefinery coupled to a shrimp processing plant </w:t>
      </w:r>
      <w:proofErr w:type="gramStart"/>
      <w:r w:rsidRPr="00270E4F">
        <w:t>was proposed</w:t>
      </w:r>
      <w:proofErr w:type="gramEnd"/>
      <w:r w:rsidRPr="00270E4F">
        <w:t xml:space="preserve"> for the immediate use of highly perishable biomass, to guarantee the quality of the extracted products and reduce storage and transportation costs. In practice, the biomass treatment sequence adopted (demineralization followed by deproteinization) eliminates the depigmentation step, as the chitin obtained has a lighter tone. The proposed route </w:t>
      </w:r>
      <w:proofErr w:type="gramStart"/>
      <w:r w:rsidRPr="00270E4F">
        <w:t>was evaluated</w:t>
      </w:r>
      <w:proofErr w:type="gramEnd"/>
      <w:r w:rsidRPr="00270E4F">
        <w:t xml:space="preserve"> for four scenarios based on two indicators: gross economic potential (EGP) and metrics for inspection of sales and reagents (MISR). The results indicate that economic viability </w:t>
      </w:r>
      <w:proofErr w:type="gramStart"/>
      <w:r w:rsidRPr="00270E4F">
        <w:t>is achieved</w:t>
      </w:r>
      <w:proofErr w:type="gramEnd"/>
      <w:r w:rsidRPr="00270E4F">
        <w:t xml:space="preserve"> only for the production of chitosan, resulting in a gross revenue of US$832.50/cycle and a MISR value &gt; 1. The sale of astaxanthin promotes an </w:t>
      </w:r>
      <w:r>
        <w:t xml:space="preserve">increase of US$3.73/cycle </w:t>
      </w:r>
      <w:r w:rsidRPr="00270E4F">
        <w:t xml:space="preserve">in the EGP, considered too low for the inclusion of another stage in the process. </w:t>
      </w:r>
    </w:p>
    <w:p w14:paraId="144DE687" w14:textId="3CDEEA30" w:rsidR="008D2649" w:rsidRPr="00A936A6" w:rsidRDefault="008D2649" w:rsidP="008D2649">
      <w:pPr>
        <w:pStyle w:val="Els-body-text"/>
        <w:spacing w:after="120"/>
        <w:rPr>
          <w:lang w:val="en-GB"/>
        </w:rPr>
      </w:pPr>
      <w:r w:rsidRPr="00A936A6">
        <w:rPr>
          <w:b/>
          <w:bCs/>
          <w:lang w:val="en-GB"/>
        </w:rPr>
        <w:t>Keywords</w:t>
      </w:r>
      <w:r w:rsidR="008E2F2C">
        <w:rPr>
          <w:lang w:val="en-GB"/>
        </w:rPr>
        <w:t xml:space="preserve">: chitin, chitosan, </w:t>
      </w:r>
      <w:r w:rsidR="00C86895" w:rsidRPr="00701014">
        <w:t>astaxanthin</w:t>
      </w:r>
      <w:r w:rsidR="00C86895">
        <w:t xml:space="preserve">, </w:t>
      </w:r>
      <w:r w:rsidR="008E2F2C">
        <w:rPr>
          <w:lang w:val="en-GB"/>
        </w:rPr>
        <w:t>biorefinery, shrimp waste</w:t>
      </w:r>
      <w:r w:rsidRPr="00A936A6">
        <w:rPr>
          <w:lang w:val="en-GB"/>
        </w:rPr>
        <w:t>.</w:t>
      </w:r>
    </w:p>
    <w:p w14:paraId="2C6AD3C4" w14:textId="7B0B71AD" w:rsidR="00214BAB" w:rsidRPr="00537CB8" w:rsidRDefault="006C2D0D" w:rsidP="008D2649">
      <w:pPr>
        <w:pStyle w:val="Els-1storder-head"/>
      </w:pPr>
      <w:r w:rsidRPr="00A936A6">
        <w:t>Introduction</w:t>
      </w:r>
    </w:p>
    <w:p w14:paraId="2078A36C" w14:textId="60CB3C41" w:rsidR="001F369E" w:rsidRDefault="001F369E" w:rsidP="00A936A6">
      <w:pPr>
        <w:jc w:val="both"/>
        <w:rPr>
          <w:lang w:val="en-US"/>
        </w:rPr>
      </w:pPr>
      <w:r w:rsidRPr="001F369E">
        <w:rPr>
          <w:lang w:val="en-US"/>
        </w:rPr>
        <w:t xml:space="preserve">Shrimp farming is a kind of aquaculture in which shrimp </w:t>
      </w:r>
      <w:proofErr w:type="gramStart"/>
      <w:r w:rsidRPr="001F369E">
        <w:rPr>
          <w:lang w:val="en-US"/>
        </w:rPr>
        <w:t>are raised</w:t>
      </w:r>
      <w:proofErr w:type="gramEnd"/>
      <w:r w:rsidRPr="001F369E">
        <w:rPr>
          <w:lang w:val="en-US"/>
        </w:rPr>
        <w:t xml:space="preserve"> in a confined and controlled space. The risk of extinction of marine species captured in the wild has stood out as one of the main reasons for the increase in consumption of species cultivated in captivity, in addition to controlling production costs, standardizing products, and consistency in supply</w:t>
      </w:r>
      <w:r w:rsidR="00D66A1A">
        <w:rPr>
          <w:lang w:val="en-US"/>
        </w:rPr>
        <w:t xml:space="preserve"> </w:t>
      </w:r>
      <w:r w:rsidR="00D66A1A" w:rsidRPr="001F369E">
        <w:rPr>
          <w:lang w:val="en-US"/>
        </w:rPr>
        <w:t>(Veríssimo et al., 2021)</w:t>
      </w:r>
      <w:r w:rsidRPr="001F369E">
        <w:rPr>
          <w:lang w:val="en-US"/>
        </w:rPr>
        <w:t>. However, the amount of waste generated is significant, representing 30-60</w:t>
      </w:r>
      <w:r w:rsidR="00935EC9">
        <w:rPr>
          <w:lang w:val="en-US"/>
        </w:rPr>
        <w:t xml:space="preserve"> </w:t>
      </w:r>
      <w:r w:rsidRPr="001F369E">
        <w:rPr>
          <w:lang w:val="en-US"/>
        </w:rPr>
        <w:t xml:space="preserve">% of the animal's total weight, </w:t>
      </w:r>
      <w:r w:rsidR="00324DD3">
        <w:rPr>
          <w:lang w:val="en-US"/>
        </w:rPr>
        <w:t>and</w:t>
      </w:r>
      <w:r w:rsidR="00324DD3" w:rsidRPr="001F369E">
        <w:rPr>
          <w:lang w:val="en-US"/>
        </w:rPr>
        <w:t xml:space="preserve"> </w:t>
      </w:r>
      <w:r w:rsidRPr="001F369E">
        <w:rPr>
          <w:lang w:val="en-US"/>
        </w:rPr>
        <w:t xml:space="preserve">is disposed in landfills or inappropriate locations, causing environmental problems and risks to human health. The recovery of this waste presents itself as a promising alternative since this biomass is a source of bioactive compounds such as astaxanthin, chitin, proteins, and minerals </w:t>
      </w:r>
      <w:r w:rsidR="00D66A1A" w:rsidRPr="001F369E">
        <w:rPr>
          <w:lang w:val="en-US"/>
        </w:rPr>
        <w:t xml:space="preserve">(Aneesh et al., 2020). </w:t>
      </w:r>
    </w:p>
    <w:p w14:paraId="4629B077" w14:textId="31F6E3EC" w:rsidR="00AC7DDC" w:rsidRDefault="00AC7DDC" w:rsidP="00234D65">
      <w:pPr>
        <w:pStyle w:val="Els-body-text"/>
      </w:pPr>
      <w:r>
        <w:t>Chitin, which makes up about 15</w:t>
      </w:r>
      <w:r w:rsidR="00935EC9">
        <w:t>-</w:t>
      </w:r>
      <w:r>
        <w:t>40</w:t>
      </w:r>
      <w:r w:rsidR="00AF209D">
        <w:t xml:space="preserve"> </w:t>
      </w:r>
      <w:r>
        <w:t>% of shrimp shells, is the product of greatest interest. It is the second most abundant biopolymer in nature</w:t>
      </w:r>
      <w:r w:rsidR="008D3DDB">
        <w:t xml:space="preserve"> after cellulose, with similar molecular </w:t>
      </w:r>
      <w:r w:rsidR="00251137">
        <w:t>structures. The</w:t>
      </w:r>
      <w:r>
        <w:t xml:space="preserve"> chitin extraction process involves three steps: i) depigment</w:t>
      </w:r>
      <w:r w:rsidR="00AF209D">
        <w:t xml:space="preserve">ation, ii) </w:t>
      </w:r>
      <w:r w:rsidR="00AF209D">
        <w:lastRenderedPageBreak/>
        <w:t>demineralization</w:t>
      </w:r>
      <w:r>
        <w:t xml:space="preserve">, and iii) </w:t>
      </w:r>
      <w:r w:rsidR="00AF209D">
        <w:t>deproteinization.</w:t>
      </w:r>
      <w:r>
        <w:t xml:space="preserve"> Chitosan, obtai</w:t>
      </w:r>
      <w:r w:rsidR="00935EC9">
        <w:t xml:space="preserve">ned from the deacetylation </w:t>
      </w:r>
      <w:r>
        <w:t xml:space="preserve">of chitin, is a biopolymer of industrial interest as it has properties such as biodegradability, biocompatibility, low levels of toxicity, and allergenicity, forms gels easily and inhibits growth of microorganisms (Verardi et al., 2023). Despite the potential for application in several areas, chitosan production on a commercial scale is still under investigation. The chemical method is the most commercially used to obtain this biopolymer. However, it results in acidic and alkaline residues that are toxic to the environment and difficult to treat. Furthermore, it requires the consumption of large amounts of water to wash the biomass between the </w:t>
      </w:r>
      <w:r w:rsidR="00C32604">
        <w:t>stages,</w:t>
      </w:r>
      <w:r>
        <w:t xml:space="preserve"> which limits the sustainability of the process on an industrial scale.</w:t>
      </w:r>
    </w:p>
    <w:p w14:paraId="47CC3EDC" w14:textId="60C38F43" w:rsidR="00AC7DDC" w:rsidRDefault="00AC7DDC" w:rsidP="00A936A6">
      <w:pPr>
        <w:pStyle w:val="Els-body-text"/>
      </w:pPr>
      <w:r>
        <w:t xml:space="preserve">Process Systems Engineering (PSE) deals </w:t>
      </w:r>
      <w:r w:rsidR="00324DD3">
        <w:t xml:space="preserve">with the </w:t>
      </w:r>
      <w:r>
        <w:t>development of systematic techniques to identify an optimal topology of processes, raw materials, and products (Bertran et al., 2022). Recent studies ha</w:t>
      </w:r>
      <w:r w:rsidR="003370CD">
        <w:t>ve employed simulation tools (Gó</w:t>
      </w:r>
      <w:r>
        <w:t>mez-Ríos et al., 2019), life cycle assessment (Yang et al., 2019), technical, economic, and environmental assessments (TEA) (Zuorro et al., 2021), and exe</w:t>
      </w:r>
      <w:r w:rsidR="0037516C">
        <w:t>r</w:t>
      </w:r>
      <w:r>
        <w:t xml:space="preserve">getic techniques (Muñoz et al., 2023) to estimate the impact of biorefineries based on chitinous biomass. In this sense, the present work aims to develop a conceptual </w:t>
      </w:r>
      <w:r w:rsidR="00324DD3">
        <w:t xml:space="preserve">design </w:t>
      </w:r>
      <w:r>
        <w:t>for a chitin biorefinery based on shrimp farming waste. A preliminary economic analysis was carried out to identify the feasibility of recovering astaxanthin, chitin, and chitosan-based on product sales prices, reagent costs, and effluent treatment costs generated in the process.</w:t>
      </w:r>
      <w:r w:rsidRPr="001F369E" w:rsidDel="00AC7DDC">
        <w:t xml:space="preserve"> </w:t>
      </w:r>
    </w:p>
    <w:p w14:paraId="144DE699" w14:textId="7898B74B" w:rsidR="008D2649" w:rsidRPr="00A936A6" w:rsidRDefault="00280338" w:rsidP="008D2649">
      <w:pPr>
        <w:pStyle w:val="Els-1storder-head"/>
      </w:pPr>
      <w:r w:rsidRPr="00A936A6">
        <w:t>Methodology</w:t>
      </w:r>
    </w:p>
    <w:p w14:paraId="144DE69A" w14:textId="0AF4ABC9" w:rsidR="008D2649" w:rsidRPr="00A25EFF" w:rsidRDefault="00A25EFF" w:rsidP="00C32604">
      <w:pPr>
        <w:pStyle w:val="Els-2ndorder-head"/>
        <w:numPr>
          <w:ilvl w:val="0"/>
          <w:numId w:val="0"/>
        </w:numPr>
        <w:spacing w:before="0" w:after="60"/>
      </w:pPr>
      <w:r>
        <w:t xml:space="preserve">2.1. </w:t>
      </w:r>
      <w:r w:rsidR="00280338" w:rsidRPr="00A25EFF">
        <w:t>Process description</w:t>
      </w:r>
    </w:p>
    <w:p w14:paraId="1336BAD8" w14:textId="10117D15" w:rsidR="002947FB" w:rsidRDefault="002947FB" w:rsidP="002947FB">
      <w:pPr>
        <w:pStyle w:val="Els-body-text"/>
        <w:spacing w:after="120"/>
      </w:pPr>
      <w:r>
        <w:t xml:space="preserve">Three possible products </w:t>
      </w:r>
      <w:proofErr w:type="gramStart"/>
      <w:r w:rsidR="00A25EFF">
        <w:t>are</w:t>
      </w:r>
      <w:r w:rsidRPr="002947FB">
        <w:t xml:space="preserve"> considered</w:t>
      </w:r>
      <w:proofErr w:type="gramEnd"/>
      <w:r w:rsidRPr="002947FB">
        <w:t>: astaxanthin, chitin and chitosan. The design was made considering that the plant is installed close to a shrimp processing plant with a batch processing capacity of 1 t/cycle of fresh shrimp, and each section is briefly described.</w:t>
      </w:r>
    </w:p>
    <w:p w14:paraId="2FFB28A1" w14:textId="1706124B" w:rsidR="003F4327" w:rsidRPr="002947FB" w:rsidRDefault="002947FB" w:rsidP="00C32604">
      <w:pPr>
        <w:pStyle w:val="Els-3rdorder-head"/>
        <w:numPr>
          <w:ilvl w:val="0"/>
          <w:numId w:val="0"/>
        </w:numPr>
        <w:spacing w:before="0" w:after="60"/>
      </w:pPr>
      <w:r>
        <w:t xml:space="preserve">2.1.1. </w:t>
      </w:r>
      <w:r w:rsidR="004B4486" w:rsidRPr="004B4486">
        <w:t xml:space="preserve">Shrimp </w:t>
      </w:r>
      <w:r w:rsidR="004B4486">
        <w:t>F</w:t>
      </w:r>
      <w:r w:rsidR="00234D65">
        <w:t>ishing,</w:t>
      </w:r>
      <w:r w:rsidR="004B4486" w:rsidRPr="00324DD3">
        <w:t xml:space="preserve"> Processing</w:t>
      </w:r>
      <w:r w:rsidR="00234D65">
        <w:t xml:space="preserve"> and </w:t>
      </w:r>
      <w:r w:rsidR="00234D65" w:rsidRPr="00A25EFF">
        <w:t>Waste Pre-treatment</w:t>
      </w:r>
    </w:p>
    <w:p w14:paraId="0D6B9DE2" w14:textId="7494A284" w:rsidR="004B5635" w:rsidRDefault="00B73A68" w:rsidP="004B5635">
      <w:pPr>
        <w:pStyle w:val="Els-body-text"/>
        <w:spacing w:after="80"/>
      </w:pPr>
      <w:r>
        <w:t xml:space="preserve">Shrimp </w:t>
      </w:r>
      <w:proofErr w:type="gramStart"/>
      <w:r>
        <w:t>is removed</w:t>
      </w:r>
      <w:r w:rsidR="004B4486" w:rsidRPr="004B4486">
        <w:t xml:space="preserve"> from the ponds and immersed in tanks with ice and sodium metabisulfite</w:t>
      </w:r>
      <w:r w:rsidR="00863167">
        <w:t xml:space="preserve"> </w:t>
      </w:r>
      <w:r w:rsidR="004B4486" w:rsidRPr="004B4486">
        <w:t>solution</w:t>
      </w:r>
      <w:r w:rsidR="002947FB">
        <w:t xml:space="preserve"> </w:t>
      </w:r>
      <w:r w:rsidR="00863167">
        <w:t>(MBS)</w:t>
      </w:r>
      <w:r w:rsidR="00863167" w:rsidRPr="004B4486">
        <w:t xml:space="preserve"> </w:t>
      </w:r>
      <w:r w:rsidR="00234D65">
        <w:t>9</w:t>
      </w:r>
      <w:r w:rsidR="002947FB">
        <w:t xml:space="preserve"> </w:t>
      </w:r>
      <w:r w:rsidR="00234D65">
        <w:t>% (w/w</w:t>
      </w:r>
      <w:r w:rsidR="002947FB" w:rsidRPr="004B4486">
        <w:t>)</w:t>
      </w:r>
      <w:proofErr w:type="gramEnd"/>
      <w:r w:rsidR="004B4486" w:rsidRPr="004B4486">
        <w:t xml:space="preserve">. Damaged and stained shrimp </w:t>
      </w:r>
      <w:proofErr w:type="gramStart"/>
      <w:r>
        <w:t>is</w:t>
      </w:r>
      <w:r w:rsidRPr="004B4486">
        <w:t xml:space="preserve"> </w:t>
      </w:r>
      <w:r w:rsidR="004B4486" w:rsidRPr="004B4486">
        <w:t>separated</w:t>
      </w:r>
      <w:proofErr w:type="gramEnd"/>
      <w:r w:rsidR="004B4486" w:rsidRPr="004B4486">
        <w:t xml:space="preserve"> in the sorting unit. The heads and shells </w:t>
      </w:r>
      <w:proofErr w:type="gramStart"/>
      <w:r w:rsidR="004B4486" w:rsidRPr="004B4486">
        <w:t>are removed</w:t>
      </w:r>
      <w:proofErr w:type="gramEnd"/>
      <w:r w:rsidR="004B4486" w:rsidRPr="004B4486">
        <w:t xml:space="preserve"> in the decapitation and peeling steps, respectively. </w:t>
      </w:r>
      <w:r w:rsidR="004B4486" w:rsidRPr="00A25EFF">
        <w:t>The main output stream corresponds to shrimp meat.</w:t>
      </w:r>
      <w:r w:rsidR="00234D65">
        <w:t xml:space="preserve"> </w:t>
      </w:r>
      <w:r w:rsidR="00285CC4" w:rsidRPr="00285CC4">
        <w:t xml:space="preserve">The output streams containing the shrimp heads and shells </w:t>
      </w:r>
      <w:proofErr w:type="gramStart"/>
      <w:r w:rsidR="00285CC4" w:rsidRPr="00285CC4">
        <w:t>are washed, dried and ground</w:t>
      </w:r>
      <w:proofErr w:type="gramEnd"/>
      <w:r w:rsidR="00285CC4" w:rsidRPr="00285CC4">
        <w:t>. The composition of the incoming dry biomass stream in the depigmentation sec</w:t>
      </w:r>
      <w:r w:rsidR="00234D65">
        <w:t xml:space="preserve">tion </w:t>
      </w:r>
      <w:proofErr w:type="gramStart"/>
      <w:r w:rsidR="00234D65">
        <w:t>was considered</w:t>
      </w:r>
      <w:proofErr w:type="gramEnd"/>
      <w:r w:rsidR="00285CC4" w:rsidRPr="00285CC4">
        <w:t xml:space="preserve"> the experimental characterization of the </w:t>
      </w:r>
      <w:r w:rsidR="00285CC4" w:rsidRPr="008E2F2C">
        <w:rPr>
          <w:i/>
        </w:rPr>
        <w:t>Penaeus vannamei</w:t>
      </w:r>
      <w:r w:rsidR="00285CC4" w:rsidRPr="00285CC4">
        <w:t xml:space="preserve"> shrimp shell</w:t>
      </w:r>
      <w:r w:rsidR="00234D65">
        <w:t>, as presented in Table 1, with</w:t>
      </w:r>
      <w:r w:rsidR="00CE7BAE">
        <w:t xml:space="preserve"> t</w:t>
      </w:r>
      <w:r w:rsidR="00CE7BAE" w:rsidRPr="00CE25A0">
        <w:t>he set of reactions used for stoichiometric segm</w:t>
      </w:r>
      <w:r w:rsidR="00234D65">
        <w:t>entation</w:t>
      </w:r>
      <w:r w:rsidR="00935EC9">
        <w:t>.</w:t>
      </w:r>
    </w:p>
    <w:p w14:paraId="4630F1E0" w14:textId="5D7F4CB7" w:rsidR="00351D08" w:rsidRDefault="00CE25A0" w:rsidP="00234D65">
      <w:pPr>
        <w:spacing w:after="60"/>
        <w:rPr>
          <w:lang w:val="en-US"/>
        </w:rPr>
      </w:pPr>
      <w:r w:rsidRPr="00CE25A0">
        <w:rPr>
          <w:lang w:val="en-US"/>
        </w:rPr>
        <w:t xml:space="preserve">Table 1. Average composition of </w:t>
      </w:r>
      <w:r w:rsidRPr="0067432D">
        <w:rPr>
          <w:i/>
          <w:lang w:val="en-US"/>
        </w:rPr>
        <w:t>Penaeus vannamei</w:t>
      </w:r>
      <w:r w:rsidRPr="00CE25A0">
        <w:rPr>
          <w:lang w:val="en-US"/>
        </w:rPr>
        <w:t xml:space="preserve"> shrimp shells</w:t>
      </w:r>
      <w:r w:rsidR="00CE7BAE">
        <w:rPr>
          <w:lang w:val="en-US"/>
        </w:rPr>
        <w:t xml:space="preserve"> and s</w:t>
      </w:r>
      <w:r w:rsidR="00CE7BAE" w:rsidRPr="00C32604">
        <w:rPr>
          <w:lang w:val="en-US"/>
        </w:rPr>
        <w:t>toichiometric reactions for processing shrimp farming waste.</w:t>
      </w:r>
    </w:p>
    <w:tbl>
      <w:tblPr>
        <w:tblStyle w:val="Tabelacomgrade"/>
        <w:tblW w:w="7229"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1134"/>
        <w:gridCol w:w="1418"/>
        <w:gridCol w:w="2976"/>
      </w:tblGrid>
      <w:tr w:rsidR="00CE7BAE" w:rsidRPr="006D3E68" w14:paraId="042BE41E" w14:textId="77777777" w:rsidTr="00C11A72">
        <w:trPr>
          <w:jc w:val="center"/>
        </w:trPr>
        <w:tc>
          <w:tcPr>
            <w:tcW w:w="1701" w:type="dxa"/>
            <w:tcBorders>
              <w:top w:val="single" w:sz="4" w:space="0" w:color="auto"/>
              <w:bottom w:val="single" w:sz="4" w:space="0" w:color="auto"/>
            </w:tcBorders>
          </w:tcPr>
          <w:p w14:paraId="6DA0A1EB" w14:textId="77777777" w:rsidR="00CE7BAE" w:rsidRPr="006D3E68" w:rsidRDefault="00CE7BAE" w:rsidP="00FC09E8">
            <w:pPr>
              <w:jc w:val="center"/>
              <w:rPr>
                <w:rFonts w:ascii="Times New Roman" w:hAnsi="Times New Roman" w:cs="Times New Roman"/>
                <w:b/>
                <w:sz w:val="16"/>
                <w:lang w:val="en-US"/>
              </w:rPr>
            </w:pPr>
            <w:r w:rsidRPr="006D3E68">
              <w:rPr>
                <w:rFonts w:ascii="Times New Roman" w:hAnsi="Times New Roman" w:cs="Times New Roman"/>
                <w:b/>
                <w:sz w:val="16"/>
              </w:rPr>
              <w:t>Component</w:t>
            </w:r>
          </w:p>
        </w:tc>
        <w:tc>
          <w:tcPr>
            <w:tcW w:w="1134" w:type="dxa"/>
            <w:tcBorders>
              <w:top w:val="single" w:sz="4" w:space="0" w:color="auto"/>
              <w:bottom w:val="single" w:sz="4" w:space="0" w:color="auto"/>
            </w:tcBorders>
          </w:tcPr>
          <w:p w14:paraId="46709A93" w14:textId="77777777" w:rsidR="00CE7BAE" w:rsidRPr="006D3E68" w:rsidRDefault="00CE7BAE" w:rsidP="00FC09E8">
            <w:pPr>
              <w:jc w:val="center"/>
              <w:rPr>
                <w:rFonts w:ascii="Times New Roman" w:hAnsi="Times New Roman" w:cs="Times New Roman"/>
                <w:b/>
                <w:sz w:val="16"/>
                <w:lang w:val="en-US"/>
              </w:rPr>
            </w:pPr>
            <w:r w:rsidRPr="006D3E68">
              <w:rPr>
                <w:rFonts w:ascii="Times New Roman" w:hAnsi="Times New Roman" w:cs="Times New Roman"/>
                <w:b/>
                <w:sz w:val="16"/>
              </w:rPr>
              <w:t>Composition (%)</w:t>
            </w:r>
          </w:p>
        </w:tc>
        <w:tc>
          <w:tcPr>
            <w:tcW w:w="1418" w:type="dxa"/>
            <w:tcBorders>
              <w:top w:val="single" w:sz="4" w:space="0" w:color="auto"/>
              <w:bottom w:val="single" w:sz="4" w:space="0" w:color="auto"/>
            </w:tcBorders>
            <w:vAlign w:val="center"/>
          </w:tcPr>
          <w:p w14:paraId="68E6C9F3" w14:textId="77777777" w:rsidR="00CE7BAE" w:rsidRPr="006D3E68" w:rsidRDefault="00CE7BAE" w:rsidP="00FC09E8">
            <w:pPr>
              <w:jc w:val="center"/>
              <w:rPr>
                <w:rFonts w:ascii="Times New Roman" w:hAnsi="Times New Roman" w:cs="Times New Roman"/>
                <w:b/>
                <w:sz w:val="16"/>
                <w:lang w:val="en-US"/>
              </w:rPr>
            </w:pPr>
            <w:r w:rsidRPr="006D3E68">
              <w:rPr>
                <w:rFonts w:ascii="Times New Roman" w:hAnsi="Times New Roman" w:cs="Times New Roman"/>
                <w:b/>
                <w:sz w:val="16"/>
                <w:lang w:val="en-US"/>
              </w:rPr>
              <w:t>Process Step</w:t>
            </w:r>
          </w:p>
        </w:tc>
        <w:tc>
          <w:tcPr>
            <w:tcW w:w="2976" w:type="dxa"/>
            <w:tcBorders>
              <w:top w:val="single" w:sz="4" w:space="0" w:color="auto"/>
              <w:bottom w:val="single" w:sz="4" w:space="0" w:color="auto"/>
            </w:tcBorders>
            <w:vAlign w:val="center"/>
          </w:tcPr>
          <w:p w14:paraId="78DE533B" w14:textId="77777777" w:rsidR="00CE7BAE" w:rsidRPr="006D3E68" w:rsidRDefault="00CE7BAE" w:rsidP="00FC09E8">
            <w:pPr>
              <w:jc w:val="center"/>
              <w:rPr>
                <w:rFonts w:ascii="Times New Roman" w:hAnsi="Times New Roman" w:cs="Times New Roman"/>
                <w:b/>
                <w:sz w:val="16"/>
                <w:lang w:val="en-US"/>
              </w:rPr>
            </w:pPr>
            <w:r w:rsidRPr="006D3E68">
              <w:rPr>
                <w:rFonts w:ascii="Times New Roman" w:hAnsi="Times New Roman" w:cs="Times New Roman"/>
                <w:b/>
                <w:sz w:val="16"/>
                <w:lang w:val="en-US"/>
              </w:rPr>
              <w:t>Reaction Set</w:t>
            </w:r>
          </w:p>
        </w:tc>
      </w:tr>
      <w:tr w:rsidR="00CE7BAE" w:rsidRPr="006D3E68" w14:paraId="6818B865" w14:textId="77777777" w:rsidTr="00C11A72">
        <w:trPr>
          <w:jc w:val="center"/>
        </w:trPr>
        <w:tc>
          <w:tcPr>
            <w:tcW w:w="1701" w:type="dxa"/>
            <w:tcBorders>
              <w:top w:val="single" w:sz="4" w:space="0" w:color="auto"/>
              <w:bottom w:val="nil"/>
            </w:tcBorders>
          </w:tcPr>
          <w:p w14:paraId="22DAF2BF" w14:textId="77777777" w:rsidR="00CE7BAE" w:rsidRPr="006D3E68" w:rsidRDefault="00CE7BAE" w:rsidP="00FC09E8">
            <w:pPr>
              <w:jc w:val="center"/>
              <w:rPr>
                <w:rFonts w:ascii="Times New Roman" w:hAnsi="Times New Roman" w:cs="Times New Roman"/>
                <w:sz w:val="16"/>
                <w:lang w:val="en-US"/>
              </w:rPr>
            </w:pPr>
            <w:r w:rsidRPr="006D3E68">
              <w:rPr>
                <w:rFonts w:ascii="Times New Roman" w:hAnsi="Times New Roman" w:cs="Times New Roman"/>
                <w:sz w:val="16"/>
              </w:rPr>
              <w:t>Astaxanthin</w:t>
            </w:r>
          </w:p>
        </w:tc>
        <w:tc>
          <w:tcPr>
            <w:tcW w:w="1134" w:type="dxa"/>
            <w:tcBorders>
              <w:top w:val="single" w:sz="4" w:space="0" w:color="auto"/>
              <w:bottom w:val="nil"/>
            </w:tcBorders>
          </w:tcPr>
          <w:p w14:paraId="449F446E" w14:textId="77777777" w:rsidR="00CE7BAE" w:rsidRPr="006D3E68" w:rsidRDefault="00CE7BAE" w:rsidP="00FC09E8">
            <w:pPr>
              <w:jc w:val="center"/>
              <w:rPr>
                <w:rFonts w:ascii="Times New Roman" w:hAnsi="Times New Roman" w:cs="Times New Roman"/>
                <w:sz w:val="16"/>
                <w:lang w:val="en-US"/>
              </w:rPr>
            </w:pPr>
            <w:r w:rsidRPr="006D3E68">
              <w:rPr>
                <w:rFonts w:ascii="Times New Roman" w:hAnsi="Times New Roman" w:cs="Times New Roman"/>
                <w:sz w:val="16"/>
              </w:rPr>
              <w:t>0.41</w:t>
            </w:r>
          </w:p>
        </w:tc>
        <w:tc>
          <w:tcPr>
            <w:tcW w:w="1418" w:type="dxa"/>
            <w:tcBorders>
              <w:top w:val="single" w:sz="4" w:space="0" w:color="auto"/>
              <w:bottom w:val="nil"/>
            </w:tcBorders>
            <w:vAlign w:val="center"/>
          </w:tcPr>
          <w:p w14:paraId="2D110EE6" w14:textId="5DCBD3DE" w:rsidR="00CE7BAE" w:rsidRPr="006D3E68" w:rsidRDefault="00C11A72" w:rsidP="00FC09E8">
            <w:pPr>
              <w:jc w:val="center"/>
              <w:rPr>
                <w:rFonts w:ascii="Times New Roman" w:hAnsi="Times New Roman" w:cs="Times New Roman"/>
                <w:sz w:val="16"/>
                <w:lang w:val="en-US"/>
              </w:rPr>
            </w:pPr>
            <w:r>
              <w:rPr>
                <w:rFonts w:ascii="Times New Roman" w:hAnsi="Times New Roman" w:cs="Times New Roman"/>
                <w:sz w:val="16"/>
                <w:lang w:val="en-US"/>
              </w:rPr>
              <w:t>Depigme</w:t>
            </w:r>
            <w:r w:rsidR="00AF209D" w:rsidRPr="006D3E68">
              <w:rPr>
                <w:rFonts w:ascii="Times New Roman" w:hAnsi="Times New Roman" w:cs="Times New Roman"/>
                <w:sz w:val="16"/>
                <w:lang w:val="en-US"/>
              </w:rPr>
              <w:t>ntation</w:t>
            </w:r>
          </w:p>
        </w:tc>
        <w:tc>
          <w:tcPr>
            <w:tcW w:w="2976" w:type="dxa"/>
            <w:tcBorders>
              <w:top w:val="single" w:sz="4" w:space="0" w:color="auto"/>
              <w:bottom w:val="nil"/>
            </w:tcBorders>
            <w:vAlign w:val="center"/>
          </w:tcPr>
          <w:p w14:paraId="0275465B" w14:textId="77777777" w:rsidR="00CE7BAE" w:rsidRPr="006D3E68" w:rsidRDefault="00CE7BAE" w:rsidP="00FC09E8">
            <w:pPr>
              <w:jc w:val="center"/>
              <w:rPr>
                <w:rFonts w:ascii="Times New Roman" w:hAnsi="Times New Roman" w:cs="Times New Roman"/>
                <w:sz w:val="16"/>
              </w:rPr>
            </w:pPr>
          </w:p>
        </w:tc>
      </w:tr>
      <w:tr w:rsidR="00CE7BAE" w:rsidRPr="003D36A3" w14:paraId="6E8A5B3D" w14:textId="77777777" w:rsidTr="00C11A72">
        <w:trPr>
          <w:jc w:val="center"/>
        </w:trPr>
        <w:tc>
          <w:tcPr>
            <w:tcW w:w="1701" w:type="dxa"/>
            <w:tcBorders>
              <w:top w:val="single" w:sz="4" w:space="0" w:color="auto"/>
              <w:bottom w:val="nil"/>
            </w:tcBorders>
          </w:tcPr>
          <w:p w14:paraId="1766E266" w14:textId="77777777" w:rsidR="00CE7BAE" w:rsidRPr="006D3E68" w:rsidRDefault="00CE7BAE" w:rsidP="00FC09E8">
            <w:pPr>
              <w:jc w:val="center"/>
              <w:rPr>
                <w:rFonts w:ascii="Times New Roman" w:hAnsi="Times New Roman" w:cs="Times New Roman"/>
                <w:sz w:val="16"/>
                <w:lang w:val="en-US"/>
              </w:rPr>
            </w:pPr>
            <w:r w:rsidRPr="006D3E68">
              <w:rPr>
                <w:rFonts w:ascii="Times New Roman" w:hAnsi="Times New Roman" w:cs="Times New Roman"/>
                <w:sz w:val="16"/>
              </w:rPr>
              <w:t>Calcium carbonate</w:t>
            </w:r>
          </w:p>
        </w:tc>
        <w:tc>
          <w:tcPr>
            <w:tcW w:w="1134" w:type="dxa"/>
            <w:tcBorders>
              <w:top w:val="single" w:sz="4" w:space="0" w:color="auto"/>
              <w:bottom w:val="nil"/>
            </w:tcBorders>
          </w:tcPr>
          <w:p w14:paraId="61081627" w14:textId="77777777" w:rsidR="00CE7BAE" w:rsidRPr="006D3E68" w:rsidRDefault="00CE7BAE" w:rsidP="00FC09E8">
            <w:pPr>
              <w:jc w:val="center"/>
              <w:rPr>
                <w:rFonts w:ascii="Times New Roman" w:hAnsi="Times New Roman" w:cs="Times New Roman"/>
                <w:sz w:val="16"/>
                <w:lang w:val="en-US"/>
              </w:rPr>
            </w:pPr>
            <w:r w:rsidRPr="006D3E68">
              <w:rPr>
                <w:rFonts w:ascii="Times New Roman" w:hAnsi="Times New Roman" w:cs="Times New Roman"/>
                <w:sz w:val="16"/>
              </w:rPr>
              <w:t>5.13</w:t>
            </w:r>
          </w:p>
        </w:tc>
        <w:tc>
          <w:tcPr>
            <w:tcW w:w="1418" w:type="dxa"/>
            <w:vMerge w:val="restart"/>
            <w:tcBorders>
              <w:top w:val="single" w:sz="4" w:space="0" w:color="auto"/>
              <w:bottom w:val="nil"/>
            </w:tcBorders>
            <w:vAlign w:val="center"/>
          </w:tcPr>
          <w:p w14:paraId="0E46D1BA" w14:textId="77777777" w:rsidR="00CE7BAE" w:rsidRPr="006D3E68" w:rsidRDefault="00CE7BAE" w:rsidP="00FC09E8">
            <w:pPr>
              <w:jc w:val="center"/>
              <w:rPr>
                <w:rFonts w:ascii="Times New Roman" w:hAnsi="Times New Roman" w:cs="Times New Roman"/>
                <w:sz w:val="16"/>
                <w:lang w:val="en-US"/>
              </w:rPr>
            </w:pPr>
            <w:r w:rsidRPr="006D3E68">
              <w:rPr>
                <w:rFonts w:ascii="Times New Roman" w:hAnsi="Times New Roman" w:cs="Times New Roman"/>
                <w:sz w:val="16"/>
                <w:lang w:val="en-US"/>
              </w:rPr>
              <w:t>Demineralization</w:t>
            </w:r>
          </w:p>
        </w:tc>
        <w:tc>
          <w:tcPr>
            <w:tcW w:w="2976" w:type="dxa"/>
            <w:tcBorders>
              <w:top w:val="single" w:sz="4" w:space="0" w:color="auto"/>
              <w:bottom w:val="nil"/>
            </w:tcBorders>
            <w:vAlign w:val="center"/>
          </w:tcPr>
          <w:p w14:paraId="4DE89434" w14:textId="6F4511B8" w:rsidR="00CE7BAE" w:rsidRPr="006D3E68" w:rsidRDefault="00CE7BAE" w:rsidP="00FC09E8">
            <w:pPr>
              <w:jc w:val="center"/>
              <w:rPr>
                <w:rFonts w:ascii="Times New Roman" w:hAnsi="Times New Roman" w:cs="Times New Roman"/>
                <w:sz w:val="14"/>
              </w:rPr>
            </w:pPr>
            <w:r w:rsidRPr="006D3E68">
              <w:rPr>
                <w:rFonts w:ascii="Times New Roman" w:hAnsi="Times New Roman" w:cs="Times New Roman"/>
                <w:sz w:val="14"/>
              </w:rPr>
              <w:t>CaCO</w:t>
            </w:r>
            <w:r w:rsidRPr="006D3E68">
              <w:rPr>
                <w:rFonts w:ascii="Times New Roman" w:hAnsi="Times New Roman" w:cs="Times New Roman"/>
                <w:sz w:val="14"/>
                <w:vertAlign w:val="subscript"/>
              </w:rPr>
              <w:t>3</w:t>
            </w:r>
            <w:sdt>
              <w:sdtPr>
                <w:rPr>
                  <w:sz w:val="14"/>
                </w:rPr>
                <w:tag w:val="goog_rdk_1"/>
                <w:id w:val="1999608228"/>
              </w:sdtPr>
              <w:sdtEndPr/>
              <w:sdtContent>
                <w:r w:rsidRPr="006D3E68">
                  <w:rPr>
                    <w:rFonts w:ascii="Times New Roman" w:eastAsia="Cardo" w:hAnsi="Times New Roman" w:cs="Times New Roman"/>
                    <w:sz w:val="14"/>
                  </w:rPr>
                  <w:t xml:space="preserve"> + 2 HCl→CaCl</w:t>
                </w:r>
              </w:sdtContent>
            </w:sdt>
            <w:r w:rsidRPr="006D3E68">
              <w:rPr>
                <w:rFonts w:ascii="Times New Roman" w:hAnsi="Times New Roman" w:cs="Times New Roman"/>
                <w:sz w:val="14"/>
                <w:vertAlign w:val="subscript"/>
              </w:rPr>
              <w:t>2</w:t>
            </w:r>
            <w:r w:rsidRPr="006D3E68">
              <w:rPr>
                <w:rFonts w:ascii="Times New Roman" w:hAnsi="Times New Roman" w:cs="Times New Roman"/>
                <w:sz w:val="14"/>
              </w:rPr>
              <w:t xml:space="preserve"> + H</w:t>
            </w:r>
            <w:r w:rsidRPr="006D3E68">
              <w:rPr>
                <w:rFonts w:ascii="Times New Roman" w:hAnsi="Times New Roman" w:cs="Times New Roman"/>
                <w:sz w:val="14"/>
                <w:vertAlign w:val="subscript"/>
              </w:rPr>
              <w:t>2</w:t>
            </w:r>
            <w:r w:rsidRPr="006D3E68">
              <w:rPr>
                <w:rFonts w:ascii="Times New Roman" w:hAnsi="Times New Roman" w:cs="Times New Roman"/>
                <w:sz w:val="14"/>
              </w:rPr>
              <w:t>O +</w:t>
            </w:r>
            <w:r w:rsidR="00234D65" w:rsidRPr="006D3E68">
              <w:rPr>
                <w:rFonts w:ascii="Times New Roman" w:hAnsi="Times New Roman" w:cs="Times New Roman"/>
                <w:sz w:val="14"/>
              </w:rPr>
              <w:t xml:space="preserve"> </w:t>
            </w:r>
            <w:r w:rsidRPr="006D3E68">
              <w:rPr>
                <w:rFonts w:ascii="Times New Roman" w:hAnsi="Times New Roman" w:cs="Times New Roman"/>
                <w:sz w:val="14"/>
              </w:rPr>
              <w:t>CO</w:t>
            </w:r>
            <w:r w:rsidRPr="006D3E68">
              <w:rPr>
                <w:rFonts w:ascii="Times New Roman" w:hAnsi="Times New Roman" w:cs="Times New Roman"/>
                <w:sz w:val="14"/>
                <w:vertAlign w:val="subscript"/>
              </w:rPr>
              <w:t>2</w:t>
            </w:r>
          </w:p>
        </w:tc>
      </w:tr>
      <w:tr w:rsidR="00CE7BAE" w:rsidRPr="003D36A3" w14:paraId="2133D360" w14:textId="77777777" w:rsidTr="00C11A72">
        <w:trPr>
          <w:jc w:val="center"/>
        </w:trPr>
        <w:tc>
          <w:tcPr>
            <w:tcW w:w="1701" w:type="dxa"/>
            <w:tcBorders>
              <w:top w:val="nil"/>
              <w:bottom w:val="nil"/>
            </w:tcBorders>
            <w:vAlign w:val="center"/>
          </w:tcPr>
          <w:p w14:paraId="4CDB36E2" w14:textId="77777777" w:rsidR="00CE7BAE" w:rsidRPr="006D3E68" w:rsidRDefault="00CE7BAE" w:rsidP="00FC09E8">
            <w:pPr>
              <w:widowControl w:val="0"/>
              <w:pBdr>
                <w:top w:val="nil"/>
                <w:left w:val="nil"/>
                <w:bottom w:val="nil"/>
                <w:right w:val="nil"/>
                <w:between w:val="nil"/>
              </w:pBdr>
              <w:jc w:val="center"/>
              <w:rPr>
                <w:rFonts w:ascii="Times New Roman" w:hAnsi="Times New Roman" w:cs="Times New Roman"/>
                <w:sz w:val="16"/>
              </w:rPr>
            </w:pPr>
            <w:r w:rsidRPr="006D3E68">
              <w:rPr>
                <w:rFonts w:ascii="Times New Roman" w:hAnsi="Times New Roman" w:cs="Times New Roman"/>
                <w:sz w:val="16"/>
              </w:rPr>
              <w:t>Sodium carbonate</w:t>
            </w:r>
          </w:p>
        </w:tc>
        <w:tc>
          <w:tcPr>
            <w:tcW w:w="1134" w:type="dxa"/>
            <w:tcBorders>
              <w:top w:val="nil"/>
              <w:bottom w:val="nil"/>
            </w:tcBorders>
            <w:vAlign w:val="center"/>
          </w:tcPr>
          <w:p w14:paraId="10D56288" w14:textId="77777777" w:rsidR="00CE7BAE" w:rsidRPr="006D3E68" w:rsidRDefault="00CE7BAE" w:rsidP="00FC09E8">
            <w:pPr>
              <w:widowControl w:val="0"/>
              <w:pBdr>
                <w:top w:val="nil"/>
                <w:left w:val="nil"/>
                <w:bottom w:val="nil"/>
                <w:right w:val="nil"/>
                <w:between w:val="nil"/>
              </w:pBdr>
              <w:jc w:val="center"/>
              <w:rPr>
                <w:rFonts w:ascii="Times New Roman" w:hAnsi="Times New Roman" w:cs="Times New Roman"/>
                <w:sz w:val="16"/>
              </w:rPr>
            </w:pPr>
            <w:r w:rsidRPr="006D3E68">
              <w:rPr>
                <w:rFonts w:ascii="Times New Roman" w:hAnsi="Times New Roman" w:cs="Times New Roman"/>
                <w:sz w:val="16"/>
              </w:rPr>
              <w:t>2.62</w:t>
            </w:r>
          </w:p>
        </w:tc>
        <w:tc>
          <w:tcPr>
            <w:tcW w:w="1418" w:type="dxa"/>
            <w:vMerge/>
            <w:tcBorders>
              <w:top w:val="nil"/>
              <w:bottom w:val="nil"/>
            </w:tcBorders>
            <w:vAlign w:val="center"/>
          </w:tcPr>
          <w:p w14:paraId="6531BA7E" w14:textId="77777777" w:rsidR="00CE7BAE" w:rsidRPr="006D3E68" w:rsidRDefault="00CE7BAE" w:rsidP="00FC09E8">
            <w:pPr>
              <w:widowControl w:val="0"/>
              <w:pBdr>
                <w:top w:val="nil"/>
                <w:left w:val="nil"/>
                <w:bottom w:val="nil"/>
                <w:right w:val="nil"/>
                <w:between w:val="nil"/>
              </w:pBdr>
              <w:jc w:val="center"/>
              <w:rPr>
                <w:rFonts w:ascii="Times New Roman" w:hAnsi="Times New Roman" w:cs="Times New Roman"/>
                <w:sz w:val="16"/>
              </w:rPr>
            </w:pPr>
          </w:p>
        </w:tc>
        <w:tc>
          <w:tcPr>
            <w:tcW w:w="2976" w:type="dxa"/>
            <w:tcBorders>
              <w:top w:val="nil"/>
              <w:bottom w:val="nil"/>
            </w:tcBorders>
            <w:vAlign w:val="center"/>
          </w:tcPr>
          <w:p w14:paraId="3FCC71BA" w14:textId="47C5A466" w:rsidR="00CE7BAE" w:rsidRPr="006D3E68" w:rsidRDefault="00CE7BAE" w:rsidP="00FC09E8">
            <w:pPr>
              <w:jc w:val="center"/>
              <w:rPr>
                <w:rFonts w:ascii="Times New Roman" w:hAnsi="Times New Roman" w:cs="Times New Roman"/>
                <w:sz w:val="14"/>
              </w:rPr>
            </w:pPr>
            <w:r w:rsidRPr="006D3E68">
              <w:rPr>
                <w:rFonts w:ascii="Times New Roman" w:hAnsi="Times New Roman" w:cs="Times New Roman"/>
                <w:sz w:val="14"/>
              </w:rPr>
              <w:t>Na</w:t>
            </w:r>
            <w:r w:rsidRPr="006D3E68">
              <w:rPr>
                <w:rFonts w:ascii="Times New Roman" w:hAnsi="Times New Roman" w:cs="Times New Roman"/>
                <w:sz w:val="14"/>
                <w:vertAlign w:val="subscript"/>
              </w:rPr>
              <w:t>2</w:t>
            </w:r>
            <w:sdt>
              <w:sdtPr>
                <w:rPr>
                  <w:sz w:val="14"/>
                </w:rPr>
                <w:tag w:val="goog_rdk_2"/>
                <w:id w:val="578958823"/>
              </w:sdtPr>
              <w:sdtEndPr/>
              <w:sdtContent>
                <w:r w:rsidRPr="006D3E68">
                  <w:rPr>
                    <w:rFonts w:ascii="Times New Roman" w:eastAsia="Cardo" w:hAnsi="Times New Roman" w:cs="Times New Roman"/>
                    <w:sz w:val="14"/>
                  </w:rPr>
                  <w:t>CO3 + 2 HCl→2 NaCl + H</w:t>
                </w:r>
              </w:sdtContent>
            </w:sdt>
            <w:r w:rsidRPr="006D3E68">
              <w:rPr>
                <w:rFonts w:ascii="Times New Roman" w:hAnsi="Times New Roman" w:cs="Times New Roman"/>
                <w:sz w:val="14"/>
                <w:vertAlign w:val="subscript"/>
              </w:rPr>
              <w:t>2</w:t>
            </w:r>
            <w:r w:rsidRPr="006D3E68">
              <w:rPr>
                <w:rFonts w:ascii="Times New Roman" w:hAnsi="Times New Roman" w:cs="Times New Roman"/>
                <w:sz w:val="14"/>
              </w:rPr>
              <w:t>O +</w:t>
            </w:r>
            <w:r w:rsidR="00234D65" w:rsidRPr="006D3E68">
              <w:rPr>
                <w:rFonts w:ascii="Times New Roman" w:hAnsi="Times New Roman" w:cs="Times New Roman"/>
                <w:sz w:val="14"/>
              </w:rPr>
              <w:t xml:space="preserve"> </w:t>
            </w:r>
            <w:r w:rsidRPr="006D3E68">
              <w:rPr>
                <w:rFonts w:ascii="Times New Roman" w:hAnsi="Times New Roman" w:cs="Times New Roman"/>
                <w:sz w:val="14"/>
              </w:rPr>
              <w:t>CO</w:t>
            </w:r>
            <w:r w:rsidRPr="006D3E68">
              <w:rPr>
                <w:rFonts w:ascii="Times New Roman" w:hAnsi="Times New Roman" w:cs="Times New Roman"/>
                <w:sz w:val="14"/>
                <w:vertAlign w:val="subscript"/>
              </w:rPr>
              <w:t>2</w:t>
            </w:r>
          </w:p>
        </w:tc>
      </w:tr>
      <w:tr w:rsidR="00CE7BAE" w:rsidRPr="003D36A3" w14:paraId="1178F707" w14:textId="77777777" w:rsidTr="00C11A72">
        <w:trPr>
          <w:jc w:val="center"/>
        </w:trPr>
        <w:tc>
          <w:tcPr>
            <w:tcW w:w="1701" w:type="dxa"/>
            <w:tcBorders>
              <w:top w:val="nil"/>
              <w:bottom w:val="nil"/>
            </w:tcBorders>
            <w:vAlign w:val="center"/>
          </w:tcPr>
          <w:p w14:paraId="5C40C571" w14:textId="77777777" w:rsidR="00CE7BAE" w:rsidRPr="006D3E68" w:rsidRDefault="00CE7BAE" w:rsidP="00FC09E8">
            <w:pPr>
              <w:widowControl w:val="0"/>
              <w:pBdr>
                <w:top w:val="nil"/>
                <w:left w:val="nil"/>
                <w:bottom w:val="nil"/>
                <w:right w:val="nil"/>
                <w:between w:val="nil"/>
              </w:pBdr>
              <w:jc w:val="center"/>
              <w:rPr>
                <w:rFonts w:ascii="Times New Roman" w:hAnsi="Times New Roman" w:cs="Times New Roman"/>
                <w:sz w:val="16"/>
              </w:rPr>
            </w:pPr>
            <w:r w:rsidRPr="006D3E68">
              <w:rPr>
                <w:rFonts w:ascii="Times New Roman" w:hAnsi="Times New Roman" w:cs="Times New Roman"/>
                <w:sz w:val="16"/>
              </w:rPr>
              <w:t>Magnesium carbonate</w:t>
            </w:r>
          </w:p>
        </w:tc>
        <w:tc>
          <w:tcPr>
            <w:tcW w:w="1134" w:type="dxa"/>
            <w:tcBorders>
              <w:top w:val="nil"/>
              <w:bottom w:val="nil"/>
            </w:tcBorders>
            <w:vAlign w:val="center"/>
          </w:tcPr>
          <w:p w14:paraId="3BE36967" w14:textId="77777777" w:rsidR="00CE7BAE" w:rsidRPr="006D3E68" w:rsidRDefault="00CE7BAE" w:rsidP="00FC09E8">
            <w:pPr>
              <w:widowControl w:val="0"/>
              <w:pBdr>
                <w:top w:val="nil"/>
                <w:left w:val="nil"/>
                <w:bottom w:val="nil"/>
                <w:right w:val="nil"/>
                <w:between w:val="nil"/>
              </w:pBdr>
              <w:jc w:val="center"/>
              <w:rPr>
                <w:rFonts w:ascii="Times New Roman" w:hAnsi="Times New Roman" w:cs="Times New Roman"/>
                <w:sz w:val="16"/>
              </w:rPr>
            </w:pPr>
            <w:r w:rsidRPr="006D3E68">
              <w:rPr>
                <w:rFonts w:ascii="Times New Roman" w:hAnsi="Times New Roman" w:cs="Times New Roman"/>
                <w:sz w:val="16"/>
              </w:rPr>
              <w:t>1.52</w:t>
            </w:r>
          </w:p>
        </w:tc>
        <w:tc>
          <w:tcPr>
            <w:tcW w:w="1418" w:type="dxa"/>
            <w:vMerge/>
            <w:tcBorders>
              <w:top w:val="nil"/>
              <w:bottom w:val="nil"/>
            </w:tcBorders>
            <w:vAlign w:val="center"/>
          </w:tcPr>
          <w:p w14:paraId="1E4F56BB" w14:textId="77777777" w:rsidR="00CE7BAE" w:rsidRPr="006D3E68" w:rsidRDefault="00CE7BAE" w:rsidP="00FC09E8">
            <w:pPr>
              <w:widowControl w:val="0"/>
              <w:pBdr>
                <w:top w:val="nil"/>
                <w:left w:val="nil"/>
                <w:bottom w:val="nil"/>
                <w:right w:val="nil"/>
                <w:between w:val="nil"/>
              </w:pBdr>
              <w:jc w:val="center"/>
              <w:rPr>
                <w:rFonts w:ascii="Times New Roman" w:hAnsi="Times New Roman" w:cs="Times New Roman"/>
                <w:sz w:val="16"/>
              </w:rPr>
            </w:pPr>
          </w:p>
        </w:tc>
        <w:tc>
          <w:tcPr>
            <w:tcW w:w="2976" w:type="dxa"/>
            <w:tcBorders>
              <w:top w:val="nil"/>
              <w:bottom w:val="nil"/>
            </w:tcBorders>
            <w:vAlign w:val="center"/>
          </w:tcPr>
          <w:p w14:paraId="64BF1441" w14:textId="0440ADE8" w:rsidR="00CE7BAE" w:rsidRPr="006D3E68" w:rsidRDefault="00CE7BAE" w:rsidP="00FC09E8">
            <w:pPr>
              <w:jc w:val="center"/>
              <w:rPr>
                <w:rFonts w:ascii="Times New Roman" w:hAnsi="Times New Roman" w:cs="Times New Roman"/>
                <w:sz w:val="14"/>
              </w:rPr>
            </w:pPr>
            <w:r w:rsidRPr="006D3E68">
              <w:rPr>
                <w:rFonts w:ascii="Times New Roman" w:hAnsi="Times New Roman" w:cs="Times New Roman"/>
                <w:sz w:val="14"/>
              </w:rPr>
              <w:t>MgCO</w:t>
            </w:r>
            <w:r w:rsidRPr="006D3E68">
              <w:rPr>
                <w:rFonts w:ascii="Times New Roman" w:hAnsi="Times New Roman" w:cs="Times New Roman"/>
                <w:sz w:val="14"/>
                <w:vertAlign w:val="subscript"/>
              </w:rPr>
              <w:t>3</w:t>
            </w:r>
            <w:sdt>
              <w:sdtPr>
                <w:rPr>
                  <w:sz w:val="14"/>
                </w:rPr>
                <w:tag w:val="goog_rdk_3"/>
                <w:id w:val="242774020"/>
              </w:sdtPr>
              <w:sdtEndPr/>
              <w:sdtContent>
                <w:r w:rsidRPr="006D3E68">
                  <w:rPr>
                    <w:rFonts w:ascii="Times New Roman" w:eastAsia="Cardo" w:hAnsi="Times New Roman" w:cs="Times New Roman"/>
                    <w:sz w:val="14"/>
                  </w:rPr>
                  <w:t xml:space="preserve"> + 2 HCl→MgCl</w:t>
                </w:r>
              </w:sdtContent>
            </w:sdt>
            <w:r w:rsidRPr="006D3E68">
              <w:rPr>
                <w:rFonts w:ascii="Times New Roman" w:hAnsi="Times New Roman" w:cs="Times New Roman"/>
                <w:sz w:val="14"/>
                <w:vertAlign w:val="subscript"/>
              </w:rPr>
              <w:t>2</w:t>
            </w:r>
            <w:r w:rsidRPr="006D3E68">
              <w:rPr>
                <w:rFonts w:ascii="Times New Roman" w:hAnsi="Times New Roman" w:cs="Times New Roman"/>
                <w:sz w:val="14"/>
              </w:rPr>
              <w:t xml:space="preserve"> + H</w:t>
            </w:r>
            <w:r w:rsidRPr="006D3E68">
              <w:rPr>
                <w:rFonts w:ascii="Times New Roman" w:hAnsi="Times New Roman" w:cs="Times New Roman"/>
                <w:sz w:val="14"/>
                <w:vertAlign w:val="subscript"/>
              </w:rPr>
              <w:t>2</w:t>
            </w:r>
            <w:r w:rsidRPr="006D3E68">
              <w:rPr>
                <w:rFonts w:ascii="Times New Roman" w:hAnsi="Times New Roman" w:cs="Times New Roman"/>
                <w:sz w:val="14"/>
              </w:rPr>
              <w:t>O +</w:t>
            </w:r>
            <w:r w:rsidR="00234D65" w:rsidRPr="006D3E68">
              <w:rPr>
                <w:rFonts w:ascii="Times New Roman" w:hAnsi="Times New Roman" w:cs="Times New Roman"/>
                <w:sz w:val="14"/>
              </w:rPr>
              <w:t xml:space="preserve"> </w:t>
            </w:r>
            <w:r w:rsidRPr="006D3E68">
              <w:rPr>
                <w:rFonts w:ascii="Times New Roman" w:hAnsi="Times New Roman" w:cs="Times New Roman"/>
                <w:sz w:val="14"/>
              </w:rPr>
              <w:t>CO</w:t>
            </w:r>
            <w:r w:rsidRPr="006D3E68">
              <w:rPr>
                <w:rFonts w:ascii="Times New Roman" w:hAnsi="Times New Roman" w:cs="Times New Roman"/>
                <w:sz w:val="14"/>
                <w:vertAlign w:val="subscript"/>
              </w:rPr>
              <w:t>2</w:t>
            </w:r>
          </w:p>
        </w:tc>
      </w:tr>
      <w:tr w:rsidR="00CE7BAE" w:rsidRPr="003D36A3" w14:paraId="7B407CF6" w14:textId="77777777" w:rsidTr="00C11A72">
        <w:trPr>
          <w:jc w:val="center"/>
        </w:trPr>
        <w:tc>
          <w:tcPr>
            <w:tcW w:w="1701" w:type="dxa"/>
            <w:tcBorders>
              <w:top w:val="nil"/>
              <w:bottom w:val="single" w:sz="4" w:space="0" w:color="auto"/>
            </w:tcBorders>
            <w:vAlign w:val="center"/>
          </w:tcPr>
          <w:p w14:paraId="68A99338" w14:textId="77777777" w:rsidR="00CE7BAE" w:rsidRPr="006D3E68" w:rsidRDefault="00CE7BAE" w:rsidP="00FC09E8">
            <w:pPr>
              <w:widowControl w:val="0"/>
              <w:pBdr>
                <w:top w:val="nil"/>
                <w:left w:val="nil"/>
                <w:bottom w:val="nil"/>
                <w:right w:val="nil"/>
                <w:between w:val="nil"/>
              </w:pBdr>
              <w:jc w:val="center"/>
              <w:rPr>
                <w:rFonts w:ascii="Times New Roman" w:hAnsi="Times New Roman" w:cs="Times New Roman"/>
                <w:sz w:val="16"/>
              </w:rPr>
            </w:pPr>
            <w:r w:rsidRPr="006D3E68">
              <w:rPr>
                <w:rFonts w:ascii="Times New Roman" w:hAnsi="Times New Roman" w:cs="Times New Roman"/>
                <w:sz w:val="16"/>
              </w:rPr>
              <w:t>Calcium phosphate</w:t>
            </w:r>
          </w:p>
        </w:tc>
        <w:tc>
          <w:tcPr>
            <w:tcW w:w="1134" w:type="dxa"/>
            <w:tcBorders>
              <w:top w:val="nil"/>
              <w:bottom w:val="single" w:sz="4" w:space="0" w:color="auto"/>
            </w:tcBorders>
            <w:vAlign w:val="center"/>
          </w:tcPr>
          <w:p w14:paraId="4C81B6B7" w14:textId="77777777" w:rsidR="00CE7BAE" w:rsidRPr="006D3E68" w:rsidRDefault="00CE7BAE" w:rsidP="00FC09E8">
            <w:pPr>
              <w:widowControl w:val="0"/>
              <w:pBdr>
                <w:top w:val="nil"/>
                <w:left w:val="nil"/>
                <w:bottom w:val="nil"/>
                <w:right w:val="nil"/>
                <w:between w:val="nil"/>
              </w:pBdr>
              <w:jc w:val="center"/>
              <w:rPr>
                <w:rFonts w:ascii="Times New Roman" w:hAnsi="Times New Roman" w:cs="Times New Roman"/>
                <w:sz w:val="16"/>
              </w:rPr>
            </w:pPr>
            <w:r w:rsidRPr="006D3E68">
              <w:rPr>
                <w:rFonts w:ascii="Times New Roman" w:hAnsi="Times New Roman" w:cs="Times New Roman"/>
                <w:sz w:val="16"/>
              </w:rPr>
              <w:t>12.90</w:t>
            </w:r>
          </w:p>
        </w:tc>
        <w:tc>
          <w:tcPr>
            <w:tcW w:w="1418" w:type="dxa"/>
            <w:vMerge/>
            <w:tcBorders>
              <w:top w:val="nil"/>
              <w:bottom w:val="single" w:sz="4" w:space="0" w:color="auto"/>
            </w:tcBorders>
            <w:vAlign w:val="center"/>
          </w:tcPr>
          <w:p w14:paraId="274B6F7C" w14:textId="77777777" w:rsidR="00CE7BAE" w:rsidRPr="006D3E68" w:rsidRDefault="00CE7BAE" w:rsidP="00FC09E8">
            <w:pPr>
              <w:widowControl w:val="0"/>
              <w:pBdr>
                <w:top w:val="nil"/>
                <w:left w:val="nil"/>
                <w:bottom w:val="nil"/>
                <w:right w:val="nil"/>
                <w:between w:val="nil"/>
              </w:pBdr>
              <w:jc w:val="center"/>
              <w:rPr>
                <w:rFonts w:ascii="Times New Roman" w:hAnsi="Times New Roman" w:cs="Times New Roman"/>
                <w:sz w:val="16"/>
              </w:rPr>
            </w:pPr>
          </w:p>
        </w:tc>
        <w:tc>
          <w:tcPr>
            <w:tcW w:w="2976" w:type="dxa"/>
            <w:tcBorders>
              <w:top w:val="nil"/>
              <w:bottom w:val="single" w:sz="4" w:space="0" w:color="auto"/>
            </w:tcBorders>
            <w:vAlign w:val="center"/>
          </w:tcPr>
          <w:p w14:paraId="1400BC32" w14:textId="77777777" w:rsidR="00CE7BAE" w:rsidRPr="006D3E68" w:rsidRDefault="00CE7BAE" w:rsidP="00FC09E8">
            <w:pPr>
              <w:jc w:val="center"/>
              <w:rPr>
                <w:rFonts w:ascii="Times New Roman" w:hAnsi="Times New Roman" w:cs="Times New Roman"/>
                <w:sz w:val="14"/>
                <w:vertAlign w:val="subscript"/>
              </w:rPr>
            </w:pPr>
            <w:r w:rsidRPr="006D3E68">
              <w:rPr>
                <w:rFonts w:ascii="Times New Roman" w:hAnsi="Times New Roman" w:cs="Times New Roman"/>
                <w:sz w:val="14"/>
              </w:rPr>
              <w:t>Ca</w:t>
            </w:r>
            <w:r w:rsidRPr="006D3E68">
              <w:rPr>
                <w:rFonts w:ascii="Times New Roman" w:hAnsi="Times New Roman" w:cs="Times New Roman"/>
                <w:sz w:val="14"/>
                <w:vertAlign w:val="subscript"/>
              </w:rPr>
              <w:t>3</w:t>
            </w:r>
            <w:r w:rsidRPr="006D3E68">
              <w:rPr>
                <w:rFonts w:ascii="Times New Roman" w:hAnsi="Times New Roman" w:cs="Times New Roman"/>
                <w:sz w:val="14"/>
              </w:rPr>
              <w:t>(PO4)</w:t>
            </w:r>
            <w:r w:rsidRPr="006D3E68">
              <w:rPr>
                <w:rFonts w:ascii="Times New Roman" w:hAnsi="Times New Roman" w:cs="Times New Roman"/>
                <w:sz w:val="14"/>
                <w:vertAlign w:val="subscript"/>
              </w:rPr>
              <w:t>2</w:t>
            </w:r>
            <w:sdt>
              <w:sdtPr>
                <w:rPr>
                  <w:sz w:val="14"/>
                </w:rPr>
                <w:tag w:val="goog_rdk_4"/>
                <w:id w:val="755183403"/>
              </w:sdtPr>
              <w:sdtEndPr/>
              <w:sdtContent>
                <w:r w:rsidRPr="006D3E68">
                  <w:rPr>
                    <w:rFonts w:ascii="Times New Roman" w:eastAsia="Cardo" w:hAnsi="Times New Roman" w:cs="Times New Roman"/>
                    <w:sz w:val="14"/>
                  </w:rPr>
                  <w:t xml:space="preserve"> + 6 HCl→3 CaCl</w:t>
                </w:r>
              </w:sdtContent>
            </w:sdt>
            <w:r w:rsidRPr="006D3E68">
              <w:rPr>
                <w:rFonts w:ascii="Times New Roman" w:hAnsi="Times New Roman" w:cs="Times New Roman"/>
                <w:sz w:val="14"/>
                <w:vertAlign w:val="subscript"/>
              </w:rPr>
              <w:t>2</w:t>
            </w:r>
            <w:r w:rsidRPr="006D3E68">
              <w:rPr>
                <w:rFonts w:ascii="Times New Roman" w:hAnsi="Times New Roman" w:cs="Times New Roman"/>
                <w:sz w:val="14"/>
              </w:rPr>
              <w:t xml:space="preserve"> + 2 H</w:t>
            </w:r>
            <w:r w:rsidRPr="006D3E68">
              <w:rPr>
                <w:rFonts w:ascii="Times New Roman" w:hAnsi="Times New Roman" w:cs="Times New Roman"/>
                <w:sz w:val="14"/>
                <w:vertAlign w:val="subscript"/>
              </w:rPr>
              <w:t>3</w:t>
            </w:r>
            <w:r w:rsidRPr="006D3E68">
              <w:rPr>
                <w:rFonts w:ascii="Times New Roman" w:hAnsi="Times New Roman" w:cs="Times New Roman"/>
                <w:sz w:val="14"/>
              </w:rPr>
              <w:t>PO</w:t>
            </w:r>
            <w:r w:rsidRPr="006D3E68">
              <w:rPr>
                <w:rFonts w:ascii="Times New Roman" w:hAnsi="Times New Roman" w:cs="Times New Roman"/>
                <w:sz w:val="14"/>
                <w:vertAlign w:val="subscript"/>
              </w:rPr>
              <w:t>4</w:t>
            </w:r>
          </w:p>
        </w:tc>
      </w:tr>
      <w:tr w:rsidR="00CE7BAE" w:rsidRPr="003D36A3" w14:paraId="43C715C5" w14:textId="77777777" w:rsidTr="00C11A72">
        <w:trPr>
          <w:jc w:val="center"/>
        </w:trPr>
        <w:tc>
          <w:tcPr>
            <w:tcW w:w="1701" w:type="dxa"/>
            <w:tcBorders>
              <w:top w:val="single" w:sz="4" w:space="0" w:color="auto"/>
              <w:bottom w:val="nil"/>
            </w:tcBorders>
            <w:vAlign w:val="center"/>
          </w:tcPr>
          <w:p w14:paraId="7406EF69" w14:textId="77777777" w:rsidR="00CE7BAE" w:rsidRPr="006D3E68" w:rsidRDefault="00CE7BAE" w:rsidP="00FC09E8">
            <w:pPr>
              <w:jc w:val="center"/>
              <w:rPr>
                <w:rFonts w:ascii="Times New Roman" w:hAnsi="Times New Roman" w:cs="Times New Roman"/>
                <w:sz w:val="16"/>
              </w:rPr>
            </w:pPr>
            <w:r w:rsidRPr="006D3E68">
              <w:rPr>
                <w:rFonts w:ascii="Times New Roman" w:hAnsi="Times New Roman" w:cs="Times New Roman"/>
                <w:sz w:val="16"/>
              </w:rPr>
              <w:t>Total protein</w:t>
            </w:r>
          </w:p>
        </w:tc>
        <w:tc>
          <w:tcPr>
            <w:tcW w:w="1134" w:type="dxa"/>
            <w:tcBorders>
              <w:top w:val="single" w:sz="4" w:space="0" w:color="auto"/>
              <w:bottom w:val="nil"/>
            </w:tcBorders>
            <w:vAlign w:val="center"/>
          </w:tcPr>
          <w:p w14:paraId="491B8DB3" w14:textId="77777777" w:rsidR="00CE7BAE" w:rsidRPr="006D3E68" w:rsidRDefault="00CE7BAE" w:rsidP="00FC09E8">
            <w:pPr>
              <w:jc w:val="center"/>
              <w:rPr>
                <w:rFonts w:ascii="Times New Roman" w:hAnsi="Times New Roman" w:cs="Times New Roman"/>
                <w:sz w:val="16"/>
              </w:rPr>
            </w:pPr>
            <w:r w:rsidRPr="006D3E68">
              <w:rPr>
                <w:rFonts w:ascii="Times New Roman" w:hAnsi="Times New Roman" w:cs="Times New Roman"/>
                <w:sz w:val="16"/>
              </w:rPr>
              <w:t>36.60</w:t>
            </w:r>
          </w:p>
        </w:tc>
        <w:tc>
          <w:tcPr>
            <w:tcW w:w="1418" w:type="dxa"/>
            <w:tcBorders>
              <w:top w:val="single" w:sz="4" w:space="0" w:color="auto"/>
              <w:bottom w:val="nil"/>
            </w:tcBorders>
            <w:vAlign w:val="center"/>
          </w:tcPr>
          <w:p w14:paraId="4117DDED" w14:textId="77777777" w:rsidR="00CE7BAE" w:rsidRPr="006D3E68" w:rsidRDefault="00CE7BAE" w:rsidP="00FC09E8">
            <w:pPr>
              <w:jc w:val="center"/>
              <w:rPr>
                <w:rFonts w:ascii="Times New Roman" w:hAnsi="Times New Roman" w:cs="Times New Roman"/>
                <w:sz w:val="16"/>
              </w:rPr>
            </w:pPr>
            <w:r w:rsidRPr="006D3E68">
              <w:rPr>
                <w:rFonts w:ascii="Times New Roman" w:hAnsi="Times New Roman" w:cs="Times New Roman"/>
                <w:sz w:val="16"/>
              </w:rPr>
              <w:t>Deproteinization</w:t>
            </w:r>
          </w:p>
        </w:tc>
        <w:tc>
          <w:tcPr>
            <w:tcW w:w="2976" w:type="dxa"/>
            <w:tcBorders>
              <w:top w:val="single" w:sz="4" w:space="0" w:color="auto"/>
              <w:bottom w:val="nil"/>
            </w:tcBorders>
            <w:vAlign w:val="center"/>
          </w:tcPr>
          <w:p w14:paraId="4BA99507" w14:textId="4532CB56" w:rsidR="00CE7BAE" w:rsidRPr="006D3E68" w:rsidRDefault="00CE7BAE" w:rsidP="00FC09E8">
            <w:pPr>
              <w:jc w:val="center"/>
              <w:rPr>
                <w:rFonts w:ascii="Times New Roman" w:hAnsi="Times New Roman" w:cs="Times New Roman"/>
                <w:sz w:val="14"/>
              </w:rPr>
            </w:pPr>
            <w:r w:rsidRPr="006D3E68">
              <w:rPr>
                <w:rFonts w:ascii="Times New Roman" w:hAnsi="Times New Roman" w:cs="Times New Roman"/>
                <w:sz w:val="14"/>
              </w:rPr>
              <w:t>Dipeptide</w:t>
            </w:r>
            <w:sdt>
              <w:sdtPr>
                <w:rPr>
                  <w:sz w:val="14"/>
                </w:rPr>
                <w:tag w:val="goog_rdk_5"/>
                <w:id w:val="1204685397"/>
              </w:sdtPr>
              <w:sdtEndPr/>
              <w:sdtContent>
                <w:r w:rsidRPr="006D3E68">
                  <w:rPr>
                    <w:rFonts w:ascii="Times New Roman" w:eastAsia="Cardo" w:hAnsi="Times New Roman" w:cs="Times New Roman"/>
                    <w:sz w:val="14"/>
                  </w:rPr>
                  <w:t xml:space="preserve"> + 2NaOH→ 2</w:t>
                </w:r>
                <w:r w:rsidR="00234D65" w:rsidRPr="006D3E68">
                  <w:rPr>
                    <w:rFonts w:ascii="Times New Roman" w:eastAsia="Cardo" w:hAnsi="Times New Roman" w:cs="Times New Roman"/>
                    <w:sz w:val="14"/>
                  </w:rPr>
                  <w:t>Amino</w:t>
                </w:r>
                <w:r w:rsidRPr="006D3E68">
                  <w:rPr>
                    <w:rFonts w:ascii="Times New Roman" w:eastAsia="Cardo" w:hAnsi="Times New Roman" w:cs="Times New Roman"/>
                    <w:sz w:val="14"/>
                  </w:rPr>
                  <w:t>acid</w:t>
                </w:r>
                <w:r w:rsidRPr="006D3E68">
                  <w:rPr>
                    <w:rFonts w:ascii="Times New Roman" w:eastAsia="Cardo" w:hAnsi="Times New Roman" w:cs="Times New Roman"/>
                    <w:sz w:val="14"/>
                    <w:vertAlign w:val="superscript"/>
                  </w:rPr>
                  <w:t>-</w:t>
                </w:r>
                <w:r w:rsidRPr="006D3E68">
                  <w:rPr>
                    <w:rFonts w:ascii="Times New Roman" w:eastAsia="Cardo" w:hAnsi="Times New Roman" w:cs="Times New Roman"/>
                    <w:sz w:val="14"/>
                  </w:rPr>
                  <w:t>Na</w:t>
                </w:r>
                <w:r w:rsidRPr="006D3E68">
                  <w:rPr>
                    <w:rFonts w:ascii="Times New Roman" w:eastAsia="Cardo" w:hAnsi="Times New Roman" w:cs="Times New Roman"/>
                    <w:sz w:val="14"/>
                    <w:vertAlign w:val="superscript"/>
                  </w:rPr>
                  <w:t>+</w:t>
                </w:r>
              </w:sdtContent>
            </w:sdt>
            <w:r w:rsidRPr="006D3E68">
              <w:rPr>
                <w:rFonts w:ascii="Times New Roman" w:hAnsi="Times New Roman" w:cs="Times New Roman"/>
                <w:sz w:val="14"/>
              </w:rPr>
              <w:t xml:space="preserve"> + H</w:t>
            </w:r>
            <w:r w:rsidRPr="006D3E68">
              <w:rPr>
                <w:rFonts w:ascii="Times New Roman" w:hAnsi="Times New Roman" w:cs="Times New Roman"/>
                <w:sz w:val="14"/>
                <w:vertAlign w:val="subscript"/>
              </w:rPr>
              <w:t>2</w:t>
            </w:r>
            <w:r w:rsidRPr="006D3E68">
              <w:rPr>
                <w:rFonts w:ascii="Times New Roman" w:hAnsi="Times New Roman" w:cs="Times New Roman"/>
                <w:sz w:val="14"/>
              </w:rPr>
              <w:t>O</w:t>
            </w:r>
          </w:p>
        </w:tc>
      </w:tr>
      <w:tr w:rsidR="00CE7BAE" w:rsidRPr="003D36A3" w14:paraId="7957F0C4" w14:textId="77777777" w:rsidTr="00C11A72">
        <w:trPr>
          <w:jc w:val="center"/>
        </w:trPr>
        <w:tc>
          <w:tcPr>
            <w:tcW w:w="1701" w:type="dxa"/>
            <w:tcBorders>
              <w:top w:val="single" w:sz="4" w:space="0" w:color="auto"/>
              <w:bottom w:val="single" w:sz="4" w:space="0" w:color="auto"/>
            </w:tcBorders>
            <w:vAlign w:val="center"/>
          </w:tcPr>
          <w:p w14:paraId="479AF371" w14:textId="77777777" w:rsidR="00CE7BAE" w:rsidRPr="006D3E68" w:rsidRDefault="00CE7BAE" w:rsidP="00FC09E8">
            <w:pPr>
              <w:jc w:val="center"/>
              <w:rPr>
                <w:rFonts w:ascii="Times New Roman" w:hAnsi="Times New Roman" w:cs="Times New Roman"/>
                <w:sz w:val="16"/>
              </w:rPr>
            </w:pPr>
            <w:r w:rsidRPr="006D3E68">
              <w:rPr>
                <w:rFonts w:ascii="Times New Roman" w:hAnsi="Times New Roman" w:cs="Times New Roman"/>
                <w:sz w:val="16"/>
              </w:rPr>
              <w:t xml:space="preserve">Total fat </w:t>
            </w:r>
          </w:p>
        </w:tc>
        <w:tc>
          <w:tcPr>
            <w:tcW w:w="1134" w:type="dxa"/>
            <w:tcBorders>
              <w:top w:val="single" w:sz="4" w:space="0" w:color="auto"/>
              <w:bottom w:val="single" w:sz="4" w:space="0" w:color="auto"/>
            </w:tcBorders>
            <w:vAlign w:val="center"/>
          </w:tcPr>
          <w:p w14:paraId="1E7A1DD4" w14:textId="77777777" w:rsidR="00CE7BAE" w:rsidRPr="006D3E68" w:rsidRDefault="00CE7BAE" w:rsidP="00FC09E8">
            <w:pPr>
              <w:jc w:val="center"/>
              <w:rPr>
                <w:rFonts w:ascii="Times New Roman" w:hAnsi="Times New Roman" w:cs="Times New Roman"/>
                <w:sz w:val="16"/>
              </w:rPr>
            </w:pPr>
            <w:r w:rsidRPr="006D3E68">
              <w:rPr>
                <w:rFonts w:ascii="Times New Roman" w:hAnsi="Times New Roman" w:cs="Times New Roman"/>
                <w:sz w:val="16"/>
              </w:rPr>
              <w:t>6.40</w:t>
            </w:r>
          </w:p>
        </w:tc>
        <w:tc>
          <w:tcPr>
            <w:tcW w:w="1418" w:type="dxa"/>
            <w:tcBorders>
              <w:top w:val="single" w:sz="4" w:space="0" w:color="auto"/>
              <w:bottom w:val="single" w:sz="4" w:space="0" w:color="auto"/>
            </w:tcBorders>
            <w:vAlign w:val="center"/>
          </w:tcPr>
          <w:p w14:paraId="4DD71772" w14:textId="77777777" w:rsidR="00CE7BAE" w:rsidRPr="006D3E68" w:rsidRDefault="00CE7BAE" w:rsidP="00FC09E8">
            <w:pPr>
              <w:jc w:val="center"/>
              <w:rPr>
                <w:rFonts w:ascii="Times New Roman" w:hAnsi="Times New Roman" w:cs="Times New Roman"/>
                <w:sz w:val="16"/>
              </w:rPr>
            </w:pPr>
            <w:r w:rsidRPr="006D3E68">
              <w:rPr>
                <w:rFonts w:ascii="Times New Roman" w:hAnsi="Times New Roman" w:cs="Times New Roman"/>
                <w:sz w:val="16"/>
              </w:rPr>
              <w:t>Saponification</w:t>
            </w:r>
          </w:p>
        </w:tc>
        <w:tc>
          <w:tcPr>
            <w:tcW w:w="2976" w:type="dxa"/>
            <w:tcBorders>
              <w:top w:val="single" w:sz="4" w:space="0" w:color="auto"/>
              <w:bottom w:val="single" w:sz="4" w:space="0" w:color="auto"/>
            </w:tcBorders>
            <w:vAlign w:val="center"/>
          </w:tcPr>
          <w:p w14:paraId="4FAB4A8D" w14:textId="77777777" w:rsidR="00CE7BAE" w:rsidRPr="006D3E68" w:rsidRDefault="00CE7BAE" w:rsidP="00FC09E8">
            <w:pPr>
              <w:jc w:val="center"/>
              <w:rPr>
                <w:rFonts w:ascii="Times New Roman" w:hAnsi="Times New Roman" w:cs="Times New Roman"/>
                <w:sz w:val="14"/>
              </w:rPr>
            </w:pPr>
            <w:r w:rsidRPr="006D3E68">
              <w:rPr>
                <w:rFonts w:ascii="Times New Roman" w:hAnsi="Times New Roman" w:cs="Times New Roman"/>
                <w:sz w:val="14"/>
              </w:rPr>
              <w:t>C</w:t>
            </w:r>
            <w:r w:rsidRPr="006D3E68">
              <w:rPr>
                <w:rFonts w:ascii="Times New Roman" w:hAnsi="Times New Roman" w:cs="Times New Roman"/>
                <w:sz w:val="14"/>
                <w:vertAlign w:val="subscript"/>
              </w:rPr>
              <w:t>17</w:t>
            </w:r>
            <w:r w:rsidRPr="006D3E68">
              <w:rPr>
                <w:rFonts w:ascii="Times New Roman" w:hAnsi="Times New Roman" w:cs="Times New Roman"/>
                <w:sz w:val="14"/>
              </w:rPr>
              <w:t>H</w:t>
            </w:r>
            <w:r w:rsidRPr="006D3E68">
              <w:rPr>
                <w:rFonts w:ascii="Times New Roman" w:hAnsi="Times New Roman" w:cs="Times New Roman"/>
                <w:sz w:val="14"/>
                <w:vertAlign w:val="subscript"/>
              </w:rPr>
              <w:t>34</w:t>
            </w:r>
            <w:r w:rsidRPr="006D3E68">
              <w:rPr>
                <w:rFonts w:ascii="Times New Roman" w:hAnsi="Times New Roman" w:cs="Times New Roman"/>
                <w:sz w:val="14"/>
              </w:rPr>
              <w:t>O</w:t>
            </w:r>
            <w:r w:rsidRPr="006D3E68">
              <w:rPr>
                <w:rFonts w:ascii="Times New Roman" w:hAnsi="Times New Roman" w:cs="Times New Roman"/>
                <w:sz w:val="14"/>
                <w:vertAlign w:val="subscript"/>
              </w:rPr>
              <w:t>2</w:t>
            </w:r>
            <w:sdt>
              <w:sdtPr>
                <w:rPr>
                  <w:sz w:val="14"/>
                </w:rPr>
                <w:tag w:val="goog_rdk_10"/>
                <w:id w:val="769817169"/>
              </w:sdtPr>
              <w:sdtEndPr/>
              <w:sdtContent>
                <w:r w:rsidRPr="006D3E68">
                  <w:rPr>
                    <w:rFonts w:ascii="Times New Roman" w:eastAsia="Cardo" w:hAnsi="Times New Roman" w:cs="Times New Roman"/>
                    <w:sz w:val="14"/>
                  </w:rPr>
                  <w:t xml:space="preserve"> + NaOH→ C</w:t>
                </w:r>
              </w:sdtContent>
            </w:sdt>
            <w:r w:rsidRPr="006D3E68">
              <w:rPr>
                <w:rFonts w:ascii="Times New Roman" w:hAnsi="Times New Roman" w:cs="Times New Roman"/>
                <w:sz w:val="14"/>
                <w:vertAlign w:val="subscript"/>
              </w:rPr>
              <w:t>16</w:t>
            </w:r>
            <w:r w:rsidRPr="006D3E68">
              <w:rPr>
                <w:rFonts w:ascii="Times New Roman" w:hAnsi="Times New Roman" w:cs="Times New Roman"/>
                <w:sz w:val="14"/>
              </w:rPr>
              <w:t>H</w:t>
            </w:r>
            <w:r w:rsidRPr="006D3E68">
              <w:rPr>
                <w:rFonts w:ascii="Times New Roman" w:hAnsi="Times New Roman" w:cs="Times New Roman"/>
                <w:sz w:val="14"/>
                <w:vertAlign w:val="subscript"/>
              </w:rPr>
              <w:t>31</w:t>
            </w:r>
            <w:r w:rsidRPr="006D3E68">
              <w:rPr>
                <w:rFonts w:ascii="Times New Roman" w:hAnsi="Times New Roman" w:cs="Times New Roman"/>
                <w:sz w:val="14"/>
              </w:rPr>
              <w:t>0</w:t>
            </w:r>
            <w:r w:rsidRPr="006D3E68">
              <w:rPr>
                <w:rFonts w:ascii="Times New Roman" w:hAnsi="Times New Roman" w:cs="Times New Roman"/>
                <w:sz w:val="14"/>
                <w:vertAlign w:val="subscript"/>
              </w:rPr>
              <w:t>2</w:t>
            </w:r>
            <w:r w:rsidRPr="006D3E68">
              <w:rPr>
                <w:rFonts w:ascii="Times New Roman" w:hAnsi="Times New Roman" w:cs="Times New Roman"/>
                <w:sz w:val="14"/>
              </w:rPr>
              <w:t>Na + CH</w:t>
            </w:r>
            <w:r w:rsidRPr="006D3E68">
              <w:rPr>
                <w:rFonts w:ascii="Times New Roman" w:hAnsi="Times New Roman" w:cs="Times New Roman"/>
                <w:sz w:val="14"/>
                <w:vertAlign w:val="subscript"/>
              </w:rPr>
              <w:t>3</w:t>
            </w:r>
            <w:r w:rsidRPr="006D3E68">
              <w:rPr>
                <w:rFonts w:ascii="Times New Roman" w:hAnsi="Times New Roman" w:cs="Times New Roman"/>
                <w:sz w:val="14"/>
              </w:rPr>
              <w:t>OH</w:t>
            </w:r>
          </w:p>
        </w:tc>
      </w:tr>
      <w:tr w:rsidR="00CE7BAE" w:rsidRPr="003D36A3" w14:paraId="6F46806A" w14:textId="77777777" w:rsidTr="00C11A72">
        <w:trPr>
          <w:jc w:val="center"/>
        </w:trPr>
        <w:tc>
          <w:tcPr>
            <w:tcW w:w="1701" w:type="dxa"/>
            <w:tcBorders>
              <w:top w:val="single" w:sz="4" w:space="0" w:color="auto"/>
              <w:bottom w:val="single" w:sz="4" w:space="0" w:color="auto"/>
            </w:tcBorders>
            <w:vAlign w:val="center"/>
          </w:tcPr>
          <w:p w14:paraId="3DBC7E79" w14:textId="77777777" w:rsidR="00CE7BAE" w:rsidRPr="006D3E68" w:rsidRDefault="00CE7BAE" w:rsidP="00FC09E8">
            <w:pPr>
              <w:jc w:val="center"/>
              <w:rPr>
                <w:rFonts w:ascii="Times New Roman" w:hAnsi="Times New Roman" w:cs="Times New Roman"/>
                <w:sz w:val="16"/>
              </w:rPr>
            </w:pPr>
            <w:r w:rsidRPr="006D3E68">
              <w:rPr>
                <w:rFonts w:ascii="Times New Roman" w:hAnsi="Times New Roman" w:cs="Times New Roman"/>
                <w:sz w:val="16"/>
              </w:rPr>
              <w:t>Chitin</w:t>
            </w:r>
          </w:p>
        </w:tc>
        <w:tc>
          <w:tcPr>
            <w:tcW w:w="1134" w:type="dxa"/>
            <w:tcBorders>
              <w:top w:val="single" w:sz="4" w:space="0" w:color="auto"/>
              <w:bottom w:val="single" w:sz="4" w:space="0" w:color="auto"/>
            </w:tcBorders>
            <w:vAlign w:val="center"/>
          </w:tcPr>
          <w:p w14:paraId="034CB7C2" w14:textId="77777777" w:rsidR="00CE7BAE" w:rsidRPr="006D3E68" w:rsidRDefault="00CE7BAE" w:rsidP="00FC09E8">
            <w:pPr>
              <w:jc w:val="center"/>
              <w:rPr>
                <w:rFonts w:ascii="Times New Roman" w:hAnsi="Times New Roman" w:cs="Times New Roman"/>
                <w:sz w:val="16"/>
              </w:rPr>
            </w:pPr>
            <w:r w:rsidRPr="006D3E68">
              <w:rPr>
                <w:rFonts w:ascii="Times New Roman" w:hAnsi="Times New Roman" w:cs="Times New Roman"/>
                <w:sz w:val="16"/>
              </w:rPr>
              <w:t>29.97</w:t>
            </w:r>
          </w:p>
        </w:tc>
        <w:tc>
          <w:tcPr>
            <w:tcW w:w="1418" w:type="dxa"/>
            <w:tcBorders>
              <w:top w:val="single" w:sz="4" w:space="0" w:color="auto"/>
              <w:bottom w:val="single" w:sz="4" w:space="0" w:color="auto"/>
            </w:tcBorders>
            <w:vAlign w:val="center"/>
          </w:tcPr>
          <w:p w14:paraId="3132521D" w14:textId="77777777" w:rsidR="00CE7BAE" w:rsidRPr="006D3E68" w:rsidRDefault="00CE7BAE" w:rsidP="00FC09E8">
            <w:pPr>
              <w:jc w:val="center"/>
              <w:rPr>
                <w:rFonts w:ascii="Times New Roman" w:hAnsi="Times New Roman" w:cs="Times New Roman"/>
                <w:sz w:val="16"/>
              </w:rPr>
            </w:pPr>
            <w:r w:rsidRPr="006D3E68">
              <w:rPr>
                <w:rFonts w:ascii="Times New Roman" w:hAnsi="Times New Roman" w:cs="Times New Roman"/>
                <w:sz w:val="16"/>
              </w:rPr>
              <w:t>Deacetilation</w:t>
            </w:r>
          </w:p>
        </w:tc>
        <w:tc>
          <w:tcPr>
            <w:tcW w:w="2976" w:type="dxa"/>
            <w:tcBorders>
              <w:top w:val="single" w:sz="4" w:space="0" w:color="auto"/>
              <w:bottom w:val="single" w:sz="4" w:space="0" w:color="auto"/>
            </w:tcBorders>
            <w:vAlign w:val="center"/>
          </w:tcPr>
          <w:p w14:paraId="7284E4B2" w14:textId="77777777" w:rsidR="00CE7BAE" w:rsidRPr="006D3E68" w:rsidRDefault="00CE7BAE" w:rsidP="00FC09E8">
            <w:pPr>
              <w:jc w:val="center"/>
              <w:rPr>
                <w:rFonts w:ascii="Times New Roman" w:hAnsi="Times New Roman" w:cs="Times New Roman"/>
                <w:sz w:val="14"/>
                <w:vertAlign w:val="subscript"/>
              </w:rPr>
            </w:pPr>
            <w:r w:rsidRPr="006D3E68">
              <w:rPr>
                <w:rFonts w:ascii="Times New Roman" w:hAnsi="Times New Roman" w:cs="Times New Roman"/>
                <w:sz w:val="14"/>
              </w:rPr>
              <w:t>C</w:t>
            </w:r>
            <w:r w:rsidRPr="006D3E68">
              <w:rPr>
                <w:rFonts w:ascii="Times New Roman" w:hAnsi="Times New Roman" w:cs="Times New Roman"/>
                <w:sz w:val="14"/>
                <w:vertAlign w:val="subscript"/>
              </w:rPr>
              <w:t>8</w:t>
            </w:r>
            <w:r w:rsidRPr="006D3E68">
              <w:rPr>
                <w:rFonts w:ascii="Times New Roman" w:hAnsi="Times New Roman" w:cs="Times New Roman"/>
                <w:sz w:val="14"/>
              </w:rPr>
              <w:t>H</w:t>
            </w:r>
            <w:r w:rsidRPr="006D3E68">
              <w:rPr>
                <w:rFonts w:ascii="Times New Roman" w:hAnsi="Times New Roman" w:cs="Times New Roman"/>
                <w:sz w:val="14"/>
                <w:vertAlign w:val="subscript"/>
              </w:rPr>
              <w:t>15</w:t>
            </w:r>
            <w:r w:rsidRPr="006D3E68">
              <w:rPr>
                <w:rFonts w:ascii="Times New Roman" w:hAnsi="Times New Roman" w:cs="Times New Roman"/>
                <w:sz w:val="14"/>
              </w:rPr>
              <w:t>NO</w:t>
            </w:r>
            <w:r w:rsidRPr="006D3E68">
              <w:rPr>
                <w:rFonts w:ascii="Times New Roman" w:hAnsi="Times New Roman" w:cs="Times New Roman"/>
                <w:sz w:val="14"/>
                <w:vertAlign w:val="subscript"/>
              </w:rPr>
              <w:t>6</w:t>
            </w:r>
            <w:sdt>
              <w:sdtPr>
                <w:rPr>
                  <w:sz w:val="14"/>
                </w:rPr>
                <w:tag w:val="goog_rdk_11"/>
                <w:id w:val="1183481798"/>
              </w:sdtPr>
              <w:sdtEndPr/>
              <w:sdtContent>
                <w:r w:rsidRPr="006D3E68">
                  <w:rPr>
                    <w:rFonts w:ascii="Times New Roman" w:eastAsia="Cardo" w:hAnsi="Times New Roman" w:cs="Times New Roman"/>
                    <w:sz w:val="14"/>
                  </w:rPr>
                  <w:t xml:space="preserve"> + NaOH→ C</w:t>
                </w:r>
              </w:sdtContent>
            </w:sdt>
            <w:r w:rsidRPr="006D3E68">
              <w:rPr>
                <w:rFonts w:ascii="Times New Roman" w:hAnsi="Times New Roman" w:cs="Times New Roman"/>
                <w:sz w:val="14"/>
                <w:vertAlign w:val="subscript"/>
              </w:rPr>
              <w:t>6</w:t>
            </w:r>
            <w:r w:rsidRPr="006D3E68">
              <w:rPr>
                <w:rFonts w:ascii="Times New Roman" w:hAnsi="Times New Roman" w:cs="Times New Roman"/>
                <w:sz w:val="14"/>
              </w:rPr>
              <w:t>H</w:t>
            </w:r>
            <w:r w:rsidRPr="006D3E68">
              <w:rPr>
                <w:rFonts w:ascii="Times New Roman" w:hAnsi="Times New Roman" w:cs="Times New Roman"/>
                <w:sz w:val="14"/>
                <w:vertAlign w:val="subscript"/>
              </w:rPr>
              <w:t>13</w:t>
            </w:r>
            <w:r w:rsidRPr="006D3E68">
              <w:rPr>
                <w:rFonts w:ascii="Times New Roman" w:hAnsi="Times New Roman" w:cs="Times New Roman"/>
                <w:sz w:val="14"/>
              </w:rPr>
              <w:t>NO</w:t>
            </w:r>
            <w:r w:rsidRPr="006D3E68">
              <w:rPr>
                <w:rFonts w:ascii="Times New Roman" w:hAnsi="Times New Roman" w:cs="Times New Roman"/>
                <w:sz w:val="14"/>
                <w:vertAlign w:val="subscript"/>
              </w:rPr>
              <w:t>5</w:t>
            </w:r>
            <w:r w:rsidRPr="006D3E68">
              <w:rPr>
                <w:rFonts w:ascii="Times New Roman" w:hAnsi="Times New Roman" w:cs="Times New Roman"/>
                <w:sz w:val="14"/>
              </w:rPr>
              <w:t xml:space="preserve"> + C</w:t>
            </w:r>
            <w:r w:rsidRPr="006D3E68">
              <w:rPr>
                <w:rFonts w:ascii="Times New Roman" w:hAnsi="Times New Roman" w:cs="Times New Roman"/>
                <w:sz w:val="14"/>
                <w:vertAlign w:val="subscript"/>
              </w:rPr>
              <w:t>2</w:t>
            </w:r>
            <w:r w:rsidRPr="006D3E68">
              <w:rPr>
                <w:rFonts w:ascii="Times New Roman" w:hAnsi="Times New Roman" w:cs="Times New Roman"/>
                <w:sz w:val="14"/>
              </w:rPr>
              <w:t>H</w:t>
            </w:r>
            <w:r w:rsidRPr="006D3E68">
              <w:rPr>
                <w:rFonts w:ascii="Times New Roman" w:hAnsi="Times New Roman" w:cs="Times New Roman"/>
                <w:sz w:val="14"/>
                <w:vertAlign w:val="subscript"/>
              </w:rPr>
              <w:t>3</w:t>
            </w:r>
            <w:r w:rsidRPr="006D3E68">
              <w:rPr>
                <w:rFonts w:ascii="Times New Roman" w:hAnsi="Times New Roman" w:cs="Times New Roman"/>
                <w:sz w:val="14"/>
              </w:rPr>
              <w:t>NaO</w:t>
            </w:r>
            <w:r w:rsidRPr="006D3E68">
              <w:rPr>
                <w:rFonts w:ascii="Times New Roman" w:hAnsi="Times New Roman" w:cs="Times New Roman"/>
                <w:sz w:val="14"/>
                <w:vertAlign w:val="subscript"/>
              </w:rPr>
              <w:t>2</w:t>
            </w:r>
          </w:p>
        </w:tc>
      </w:tr>
      <w:tr w:rsidR="00CE7BAE" w:rsidRPr="006D3E68" w14:paraId="62F64A8D" w14:textId="77777777" w:rsidTr="00C11A72">
        <w:trPr>
          <w:jc w:val="center"/>
        </w:trPr>
        <w:tc>
          <w:tcPr>
            <w:tcW w:w="1701" w:type="dxa"/>
            <w:tcBorders>
              <w:top w:val="single" w:sz="4" w:space="0" w:color="auto"/>
            </w:tcBorders>
            <w:vAlign w:val="center"/>
          </w:tcPr>
          <w:p w14:paraId="7EB9572B" w14:textId="77777777" w:rsidR="00CE7BAE" w:rsidRPr="006D3E68" w:rsidRDefault="00CE7BAE" w:rsidP="00FC09E8">
            <w:pPr>
              <w:jc w:val="center"/>
              <w:rPr>
                <w:rFonts w:ascii="Times New Roman" w:hAnsi="Times New Roman" w:cs="Times New Roman"/>
                <w:sz w:val="16"/>
              </w:rPr>
            </w:pPr>
            <w:r w:rsidRPr="006D3E68">
              <w:rPr>
                <w:rFonts w:ascii="Times New Roman" w:hAnsi="Times New Roman" w:cs="Times New Roman"/>
                <w:sz w:val="16"/>
              </w:rPr>
              <w:t>Moisture</w:t>
            </w:r>
          </w:p>
        </w:tc>
        <w:tc>
          <w:tcPr>
            <w:tcW w:w="1134" w:type="dxa"/>
            <w:tcBorders>
              <w:top w:val="single" w:sz="4" w:space="0" w:color="auto"/>
            </w:tcBorders>
            <w:vAlign w:val="center"/>
          </w:tcPr>
          <w:p w14:paraId="275205C8" w14:textId="77777777" w:rsidR="00CE7BAE" w:rsidRPr="006D3E68" w:rsidRDefault="00CE7BAE" w:rsidP="00FC09E8">
            <w:pPr>
              <w:jc w:val="center"/>
              <w:rPr>
                <w:rFonts w:ascii="Times New Roman" w:hAnsi="Times New Roman" w:cs="Times New Roman"/>
                <w:sz w:val="16"/>
              </w:rPr>
            </w:pPr>
            <w:r w:rsidRPr="006D3E68">
              <w:rPr>
                <w:rFonts w:ascii="Times New Roman" w:hAnsi="Times New Roman" w:cs="Times New Roman"/>
                <w:sz w:val="16"/>
              </w:rPr>
              <w:t>4.45</w:t>
            </w:r>
          </w:p>
        </w:tc>
        <w:tc>
          <w:tcPr>
            <w:tcW w:w="1418" w:type="dxa"/>
            <w:tcBorders>
              <w:top w:val="single" w:sz="4" w:space="0" w:color="auto"/>
            </w:tcBorders>
            <w:vAlign w:val="center"/>
          </w:tcPr>
          <w:p w14:paraId="10B4988F" w14:textId="77777777" w:rsidR="00CE7BAE" w:rsidRPr="006D3E68" w:rsidRDefault="00CE7BAE" w:rsidP="00FC09E8">
            <w:pPr>
              <w:jc w:val="center"/>
              <w:rPr>
                <w:rFonts w:ascii="Times New Roman" w:hAnsi="Times New Roman" w:cs="Times New Roman"/>
                <w:sz w:val="16"/>
              </w:rPr>
            </w:pPr>
          </w:p>
        </w:tc>
        <w:tc>
          <w:tcPr>
            <w:tcW w:w="2976" w:type="dxa"/>
            <w:tcBorders>
              <w:top w:val="single" w:sz="4" w:space="0" w:color="auto"/>
            </w:tcBorders>
            <w:vAlign w:val="center"/>
          </w:tcPr>
          <w:p w14:paraId="7B4D63B0" w14:textId="77777777" w:rsidR="00CE7BAE" w:rsidRPr="006D3E68" w:rsidRDefault="00CE7BAE" w:rsidP="00FC09E8">
            <w:pPr>
              <w:jc w:val="center"/>
              <w:rPr>
                <w:rFonts w:ascii="Times New Roman" w:hAnsi="Times New Roman" w:cs="Times New Roman"/>
                <w:sz w:val="16"/>
              </w:rPr>
            </w:pPr>
          </w:p>
        </w:tc>
      </w:tr>
    </w:tbl>
    <w:p w14:paraId="3BFB4D36" w14:textId="08426AEE" w:rsidR="00351D08" w:rsidRPr="00A936A6" w:rsidRDefault="00155AB4" w:rsidP="007A0C0F">
      <w:pPr>
        <w:pStyle w:val="Els-3rdorder-head"/>
        <w:numPr>
          <w:ilvl w:val="0"/>
          <w:numId w:val="0"/>
        </w:numPr>
      </w:pPr>
      <w:r>
        <w:lastRenderedPageBreak/>
        <w:t>2.1.2</w:t>
      </w:r>
      <w:r w:rsidR="00A25EFF">
        <w:t xml:space="preserve">. </w:t>
      </w:r>
      <w:r w:rsidR="004B4486">
        <w:t>Chitin R</w:t>
      </w:r>
      <w:r w:rsidR="004B4486" w:rsidRPr="004B4486">
        <w:t>ecovery</w:t>
      </w:r>
    </w:p>
    <w:p w14:paraId="09A925EF" w14:textId="4302A593" w:rsidR="006C2D0D" w:rsidRPr="004B4486" w:rsidRDefault="004B4486" w:rsidP="006C2D0D">
      <w:pPr>
        <w:pStyle w:val="Els-body-text"/>
      </w:pPr>
      <w:r w:rsidRPr="004B4486">
        <w:t xml:space="preserve">Depigmentation </w:t>
      </w:r>
      <w:proofErr w:type="gramStart"/>
      <w:r w:rsidRPr="004B4486">
        <w:t>is carried out</w:t>
      </w:r>
      <w:proofErr w:type="gramEnd"/>
      <w:r w:rsidRPr="004B4486">
        <w:t xml:space="preserve"> by suspending the material in an 80</w:t>
      </w:r>
      <w:r w:rsidR="009D5360">
        <w:t xml:space="preserve"> </w:t>
      </w:r>
      <w:r w:rsidRPr="004B4486">
        <w:t xml:space="preserve">% ethanol-water solution (w/w), in a </w:t>
      </w:r>
      <w:r w:rsidR="00B86E82">
        <w:t>solid-liquid ratio of 1:5</w:t>
      </w:r>
      <w:r w:rsidRPr="004B4486">
        <w:t xml:space="preserve">. With the material </w:t>
      </w:r>
      <w:r w:rsidR="00B73A68" w:rsidRPr="004B4486">
        <w:t>dr</w:t>
      </w:r>
      <w:r w:rsidR="00B73A68">
        <w:t>ied</w:t>
      </w:r>
      <w:r w:rsidR="00B73A68" w:rsidRPr="004B4486">
        <w:t xml:space="preserve"> </w:t>
      </w:r>
      <w:r w:rsidRPr="004B4486">
        <w:t xml:space="preserve">and discolored, acid demineralization </w:t>
      </w:r>
      <w:r w:rsidR="009D5360">
        <w:t>o</w:t>
      </w:r>
      <w:r w:rsidRPr="004B4486">
        <w:t xml:space="preserve">f inorganic salts </w:t>
      </w:r>
      <w:proofErr w:type="gramStart"/>
      <w:r w:rsidRPr="004B4486">
        <w:t>is carried</w:t>
      </w:r>
      <w:proofErr w:type="gramEnd"/>
      <w:r w:rsidRPr="004B4486">
        <w:t xml:space="preserve"> out using 5.2</w:t>
      </w:r>
      <w:r w:rsidR="008E2F2C">
        <w:t xml:space="preserve"> </w:t>
      </w:r>
      <w:r w:rsidR="00863167">
        <w:t>% (w/w) HCl solution</w:t>
      </w:r>
      <w:r w:rsidRPr="004B4486">
        <w:t xml:space="preserve">, in a </w:t>
      </w:r>
      <w:r w:rsidR="00AC70D8">
        <w:t>solid-liquid ratio of 1:5</w:t>
      </w:r>
      <w:r w:rsidRPr="004B4486">
        <w:t>, at room temp</w:t>
      </w:r>
      <w:r>
        <w:t>erature, under constant</w:t>
      </w:r>
      <w:r w:rsidRPr="004B4486">
        <w:t xml:space="preserve"> </w:t>
      </w:r>
      <w:r w:rsidR="00591268">
        <w:t xml:space="preserve">agitation </w:t>
      </w:r>
      <w:r w:rsidRPr="004B4486">
        <w:t xml:space="preserve">for approximately 50 min. Then, the stream </w:t>
      </w:r>
      <w:proofErr w:type="gramStart"/>
      <w:r w:rsidRPr="004B4486">
        <w:t>is filtered</w:t>
      </w:r>
      <w:proofErr w:type="gramEnd"/>
      <w:r w:rsidRPr="004B4486">
        <w:t xml:space="preserve"> and the demineralized biomass is washed with water until neutral pH</w:t>
      </w:r>
      <w:r w:rsidR="00B73A68">
        <w:t xml:space="preserve"> is achieved</w:t>
      </w:r>
      <w:r w:rsidR="00712BB2">
        <w:t xml:space="preserve">. For the deproteinization </w:t>
      </w:r>
      <w:r w:rsidRPr="004B4486">
        <w:t xml:space="preserve">step, the chitin-rich stream </w:t>
      </w:r>
      <w:proofErr w:type="gramStart"/>
      <w:r w:rsidRPr="004B4486">
        <w:t>is separated</w:t>
      </w:r>
      <w:proofErr w:type="gramEnd"/>
      <w:r w:rsidRPr="004B4486">
        <w:t xml:space="preserve"> from proteins using 4</w:t>
      </w:r>
      <w:r w:rsidR="008E2F2C">
        <w:t xml:space="preserve"> </w:t>
      </w:r>
      <w:r w:rsidRPr="004B4486">
        <w:t>% (w/w) NaOH solution, in a s</w:t>
      </w:r>
      <w:r w:rsidR="00B86E82">
        <w:t>olid-liquid ratio of 1:10</w:t>
      </w:r>
      <w:r w:rsidRPr="004B4486">
        <w:t xml:space="preserve">. The output stream </w:t>
      </w:r>
      <w:proofErr w:type="gramStart"/>
      <w:r w:rsidRPr="004B4486">
        <w:t>is filtered</w:t>
      </w:r>
      <w:proofErr w:type="gramEnd"/>
      <w:r w:rsidRPr="004B4486">
        <w:t xml:space="preserve"> and the resulting solid fraction is washed with water un</w:t>
      </w:r>
      <w:r w:rsidR="00FC0010">
        <w:t xml:space="preserve">til pH neutrality. </w:t>
      </w:r>
      <w:r w:rsidR="00F16A88">
        <w:t xml:space="preserve">Then, </w:t>
      </w:r>
      <w:r w:rsidRPr="004B4486">
        <w:t xml:space="preserve">the product </w:t>
      </w:r>
      <w:proofErr w:type="gramStart"/>
      <w:r w:rsidRPr="004B4486">
        <w:t>can be sold</w:t>
      </w:r>
      <w:proofErr w:type="gramEnd"/>
      <w:r w:rsidRPr="004B4486">
        <w:t xml:space="preserve"> as a raw material for the synthesis of chitosan</w:t>
      </w:r>
      <w:r w:rsidR="00712BB2">
        <w:t>.</w:t>
      </w:r>
      <w:r w:rsidRPr="004B4486">
        <w:t xml:space="preserve"> This step also hydrolyzes and removes </w:t>
      </w:r>
      <w:proofErr w:type="gramStart"/>
      <w:r w:rsidRPr="004B4486">
        <w:t>lipids which</w:t>
      </w:r>
      <w:proofErr w:type="gramEnd"/>
      <w:r w:rsidRPr="004B4486">
        <w:t xml:space="preserve"> can then be separated</w:t>
      </w:r>
      <w:r w:rsidR="00573AF5">
        <w:t xml:space="preserve"> from the protein</w:t>
      </w:r>
      <w:r w:rsidRPr="004B4486">
        <w:t xml:space="preserve">. A fraction of fats presented in the raw material was assumed </w:t>
      </w:r>
      <w:proofErr w:type="gramStart"/>
      <w:r w:rsidRPr="004B4486">
        <w:t>to be methyl</w:t>
      </w:r>
      <w:proofErr w:type="gramEnd"/>
      <w:r w:rsidRPr="004B4486">
        <w:t xml:space="preserve"> pal</w:t>
      </w:r>
      <w:r w:rsidR="00712BB2">
        <w:t>mitate</w:t>
      </w:r>
      <w:r w:rsidRPr="004B4486">
        <w:t>.</w:t>
      </w:r>
    </w:p>
    <w:p w14:paraId="53B8548A" w14:textId="4539BD60" w:rsidR="006C2D0D" w:rsidRPr="00A936A6" w:rsidRDefault="00155AB4" w:rsidP="00A25EFF">
      <w:pPr>
        <w:pStyle w:val="Els-3rdorder-head"/>
        <w:numPr>
          <w:ilvl w:val="0"/>
          <w:numId w:val="0"/>
        </w:numPr>
        <w:spacing w:after="60"/>
      </w:pPr>
      <w:r>
        <w:t>2.1.3</w:t>
      </w:r>
      <w:r w:rsidR="00A25EFF">
        <w:t xml:space="preserve">. </w:t>
      </w:r>
      <w:r w:rsidR="00CE25A0">
        <w:t>Chitosan Recovery</w:t>
      </w:r>
    </w:p>
    <w:p w14:paraId="37859670" w14:textId="4770D2AC" w:rsidR="006C2D0D" w:rsidRPr="00C32604" w:rsidRDefault="00CE25A0" w:rsidP="00CE7BAE">
      <w:pPr>
        <w:pStyle w:val="Els-body-text"/>
      </w:pPr>
      <w:r w:rsidRPr="00CE25A0">
        <w:t>The deacetylation reaction produces chitosan from the hydrolysis of acetamide groups of chitin molecules with 50</w:t>
      </w:r>
      <w:r w:rsidR="00FC0010">
        <w:t xml:space="preserve"> </w:t>
      </w:r>
      <w:r w:rsidRPr="00CE25A0">
        <w:t>% (w/w)</w:t>
      </w:r>
      <w:r w:rsidR="00863167">
        <w:t xml:space="preserve"> </w:t>
      </w:r>
      <w:r w:rsidR="00863167" w:rsidRPr="00CE25A0">
        <w:t>NaOH</w:t>
      </w:r>
      <w:r w:rsidR="00863167">
        <w:t xml:space="preserve"> solution</w:t>
      </w:r>
      <w:r w:rsidR="00B86E82">
        <w:t>, in a ratio of 1:10</w:t>
      </w:r>
      <w:r w:rsidRPr="00CE25A0">
        <w:t xml:space="preserve">. The chitosan-rich stream </w:t>
      </w:r>
      <w:proofErr w:type="gramStart"/>
      <w:r w:rsidRPr="00CE25A0">
        <w:t>is washed</w:t>
      </w:r>
      <w:proofErr w:type="gramEnd"/>
      <w:r w:rsidRPr="00CE25A0">
        <w:t xml:space="preserve"> until pH neutral and dried.</w:t>
      </w:r>
      <w:r w:rsidR="00A25EFF">
        <w:t xml:space="preserve"> </w:t>
      </w:r>
    </w:p>
    <w:p w14:paraId="35BB6AF2" w14:textId="4C65ED46" w:rsidR="002947FB" w:rsidRPr="00CE7BAE" w:rsidRDefault="002947FB" w:rsidP="006C2D0D">
      <w:pPr>
        <w:pStyle w:val="Els-body-text"/>
      </w:pPr>
    </w:p>
    <w:p w14:paraId="66A924E5" w14:textId="2D8CDE91" w:rsidR="006C2D0D" w:rsidRPr="00A936A6" w:rsidRDefault="00591268" w:rsidP="00591268">
      <w:pPr>
        <w:pStyle w:val="Els-2ndorder-head"/>
        <w:numPr>
          <w:ilvl w:val="0"/>
          <w:numId w:val="0"/>
        </w:numPr>
        <w:spacing w:before="0" w:after="60"/>
      </w:pPr>
      <w:r>
        <w:t xml:space="preserve">2.2. </w:t>
      </w:r>
      <w:r w:rsidR="00CE25A0" w:rsidRPr="00CE25A0">
        <w:t>Economic viability</w:t>
      </w:r>
    </w:p>
    <w:p w14:paraId="3F620F67" w14:textId="45A5EEF2" w:rsidR="00D66A1A" w:rsidRDefault="007A0C0F" w:rsidP="00712BB2">
      <w:pPr>
        <w:spacing w:after="80"/>
        <w:jc w:val="both"/>
        <w:rPr>
          <w:lang w:val="en-US"/>
        </w:rPr>
      </w:pPr>
      <w:r w:rsidRPr="007A0C0F">
        <w:rPr>
          <w:lang w:val="en-US"/>
        </w:rPr>
        <w:t xml:space="preserve">Revenue was the economic metric used </w:t>
      </w:r>
      <w:proofErr w:type="gramStart"/>
      <w:r w:rsidRPr="007A0C0F">
        <w:rPr>
          <w:lang w:val="en-US"/>
        </w:rPr>
        <w:t>to preliminarily assess</w:t>
      </w:r>
      <w:proofErr w:type="gramEnd"/>
      <w:r w:rsidRPr="007A0C0F">
        <w:rPr>
          <w:lang w:val="en-US"/>
        </w:rPr>
        <w:t xml:space="preserve"> the viability of the shrimp biorefinery based on four scenarios: 1) chitin recovery; 2) recovery of chitin and astaxanthin; 3) conversion of chitin to chitosan</w:t>
      </w:r>
      <w:r w:rsidR="00B73A68">
        <w:rPr>
          <w:lang w:val="en-US"/>
        </w:rPr>
        <w:t>,</w:t>
      </w:r>
      <w:r w:rsidRPr="007A0C0F">
        <w:rPr>
          <w:lang w:val="en-US"/>
        </w:rPr>
        <w:t xml:space="preserve"> and 4) conversion of chitin to chitosan and recovery of astaxanthin. </w:t>
      </w:r>
      <w:r w:rsidR="00712BB2">
        <w:rPr>
          <w:lang w:val="en-US"/>
        </w:rPr>
        <w:t xml:space="preserve">The </w:t>
      </w:r>
      <w:r w:rsidR="009D5360" w:rsidRPr="007A0C0F">
        <w:rPr>
          <w:lang w:val="en-US"/>
        </w:rPr>
        <w:t xml:space="preserve">indicators </w:t>
      </w:r>
      <w:r w:rsidR="00712BB2" w:rsidRPr="00701014">
        <w:t xml:space="preserve">economic gross potential (EGP) and </w:t>
      </w:r>
      <w:r w:rsidR="00712BB2" w:rsidRPr="00E57C8F">
        <w:t>metric for inspecting sales and reactants</w:t>
      </w:r>
      <w:r w:rsidR="00712BB2">
        <w:t xml:space="preserve"> </w:t>
      </w:r>
      <w:r w:rsidR="00712BB2" w:rsidRPr="00701014">
        <w:t>(MISR)</w:t>
      </w:r>
      <w:r w:rsidR="00712BB2">
        <w:t xml:space="preserve"> </w:t>
      </w:r>
      <w:r w:rsidR="009D5360" w:rsidRPr="007A0C0F">
        <w:rPr>
          <w:lang w:val="en-US"/>
        </w:rPr>
        <w:t>were adapted from El-Halwagi</w:t>
      </w:r>
      <w:r w:rsidR="009D5360">
        <w:rPr>
          <w:lang w:val="en-US"/>
        </w:rPr>
        <w:t xml:space="preserve"> (</w:t>
      </w:r>
      <w:r w:rsidR="009D5360" w:rsidRPr="007A0C0F">
        <w:rPr>
          <w:lang w:val="en-US"/>
        </w:rPr>
        <w:t>2017</w:t>
      </w:r>
      <w:r w:rsidR="009D5360">
        <w:rPr>
          <w:lang w:val="en-US"/>
        </w:rPr>
        <w:t>)</w:t>
      </w:r>
      <w:r w:rsidR="009D5360" w:rsidRPr="007A0C0F">
        <w:rPr>
          <w:lang w:val="en-US"/>
        </w:rPr>
        <w:t>, as described in Eqs. (1) and (2).</w:t>
      </w:r>
      <w:r w:rsidR="00712BB2">
        <w:rPr>
          <w:lang w:val="en-US"/>
        </w:rPr>
        <w:t xml:space="preserve"> </w:t>
      </w:r>
      <w:r w:rsidR="00712BB2" w:rsidRPr="00712BB2">
        <w:rPr>
          <w:lang w:val="en-US"/>
        </w:rPr>
        <w:t xml:space="preserve">EGP provides an upper limit for process revenue without considering operational and fixed costs. For the process to be viable, the EGP must be greater than zero. However, positive EGP values do not guarantee the viability of the process. Therefore, MISR </w:t>
      </w:r>
      <w:proofErr w:type="gramStart"/>
      <w:r w:rsidR="00712BB2" w:rsidRPr="00712BB2">
        <w:rPr>
          <w:lang w:val="en-US"/>
        </w:rPr>
        <w:t>is used</w:t>
      </w:r>
      <w:proofErr w:type="gramEnd"/>
      <w:r w:rsidR="00712BB2" w:rsidRPr="00712BB2">
        <w:rPr>
          <w:lang w:val="en-US"/>
        </w:rPr>
        <w:t xml:space="preserve"> as an indicator analogous to EGP, with values greater than one being desirable for a more detailed analysis of the approach.</w:t>
      </w:r>
      <w:r w:rsidR="009D5360">
        <w:rPr>
          <w:lang w:val="en-US"/>
        </w:rPr>
        <w:t xml:space="preserve"> </w:t>
      </w:r>
      <w:r w:rsidR="00712BB2">
        <w:rPr>
          <w:lang w:val="en-US"/>
        </w:rPr>
        <w:t>Table 2</w:t>
      </w:r>
      <w:r w:rsidRPr="007A0C0F">
        <w:rPr>
          <w:lang w:val="en-US"/>
        </w:rPr>
        <w:t xml:space="preserve"> shows the prices of reagents and products, as well as the costs of treating effluents. </w:t>
      </w:r>
    </w:p>
    <w:p w14:paraId="7132768A" w14:textId="041208E0" w:rsidR="00D66A1A" w:rsidRPr="00D10E3F" w:rsidRDefault="00D66A1A" w:rsidP="00D66A1A">
      <w:pPr>
        <w:ind w:right="-852" w:hanging="426"/>
        <w:jc w:val="center"/>
        <w:rPr>
          <w:sz w:val="18"/>
          <w:szCs w:val="18"/>
          <w:lang w:val="en-US"/>
        </w:rPr>
      </w:pPr>
      <m:oMath>
        <m:r>
          <m:rPr>
            <m:sty m:val="b"/>
          </m:rPr>
          <w:rPr>
            <w:rFonts w:ascii="Cambria Math" w:eastAsia="Cambria Math" w:hAnsi="Cambria Math"/>
            <w:sz w:val="18"/>
            <w:szCs w:val="18"/>
          </w:rPr>
          <m:t>EGP</m:t>
        </m:r>
        <m:r>
          <m:rPr>
            <m:sty m:val="p"/>
          </m:rPr>
          <w:rPr>
            <w:rFonts w:ascii="Cambria Math" w:eastAsia="Cambria Math" w:hAnsi="Cambria Math"/>
            <w:sz w:val="18"/>
            <w:szCs w:val="18"/>
            <w:lang w:val="en-US"/>
          </w:rPr>
          <m:t>=</m:t>
        </m:r>
        <m:d>
          <m:dPr>
            <m:ctrlPr>
              <w:rPr>
                <w:rFonts w:ascii="Cambria Math" w:eastAsia="Cambria Math" w:hAnsi="Cambria Math"/>
                <w:sz w:val="18"/>
                <w:szCs w:val="18"/>
              </w:rPr>
            </m:ctrlPr>
          </m:dPr>
          <m:e>
            <m:nary>
              <m:naryPr>
                <m:chr m:val="∑"/>
                <m:ctrlPr>
                  <w:rPr>
                    <w:rFonts w:ascii="Cambria Math" w:eastAsia="Cambria Math" w:hAnsi="Cambria Math"/>
                    <w:sz w:val="18"/>
                    <w:szCs w:val="18"/>
                  </w:rPr>
                </m:ctrlPr>
              </m:naryPr>
              <m:sub>
                <m:r>
                  <m:rPr>
                    <m:sty m:val="p"/>
                  </m:rPr>
                  <w:rPr>
                    <w:rFonts w:ascii="Cambria Math" w:eastAsia="Cambria Math" w:hAnsi="Cambria Math"/>
                    <w:sz w:val="18"/>
                    <w:szCs w:val="18"/>
                    <w:lang w:val="en-US"/>
                  </w:rPr>
                  <m:t>p=1</m:t>
                </m:r>
              </m:sub>
              <m:sup>
                <m:sSub>
                  <m:sSubPr>
                    <m:ctrlPr>
                      <w:rPr>
                        <w:rFonts w:ascii="Cambria Math" w:eastAsia="Cambria Math" w:hAnsi="Cambria Math"/>
                        <w:sz w:val="18"/>
                        <w:szCs w:val="18"/>
                      </w:rPr>
                    </m:ctrlPr>
                  </m:sSubPr>
                  <m:e>
                    <m:r>
                      <m:rPr>
                        <m:sty m:val="p"/>
                      </m:rPr>
                      <w:rPr>
                        <w:rFonts w:ascii="Cambria Math" w:eastAsia="Cambria Math" w:hAnsi="Cambria Math"/>
                        <w:sz w:val="18"/>
                        <w:szCs w:val="18"/>
                        <w:lang w:val="en-US"/>
                      </w:rPr>
                      <m:t>N</m:t>
                    </m:r>
                  </m:e>
                  <m:sub>
                    <m:r>
                      <m:rPr>
                        <m:sty m:val="p"/>
                      </m:rPr>
                      <w:rPr>
                        <w:rFonts w:ascii="Cambria Math" w:eastAsia="Cambria Math" w:hAnsi="Cambria Math"/>
                        <w:sz w:val="18"/>
                        <w:szCs w:val="18"/>
                        <w:lang w:val="en-US"/>
                      </w:rPr>
                      <m:t>products</m:t>
                    </m:r>
                  </m:sub>
                </m:sSub>
              </m:sup>
              <m:e>
                <m:r>
                  <m:rPr>
                    <m:sty m:val="p"/>
                  </m:rPr>
                  <w:rPr>
                    <w:rFonts w:ascii="Cambria Math" w:eastAsia="Cambria Math" w:hAnsi="Cambria Math"/>
                    <w:sz w:val="18"/>
                    <w:szCs w:val="18"/>
                    <w:lang w:val="en-US"/>
                  </w:rPr>
                  <m:t xml:space="preserve">Production rate of product </m:t>
                </m:r>
                <m:r>
                  <w:rPr>
                    <w:rFonts w:ascii="Cambria Math" w:eastAsia="Cambria Math" w:hAnsi="Cambria Math"/>
                    <w:sz w:val="18"/>
                    <w:szCs w:val="18"/>
                  </w:rPr>
                  <m:t>p</m:t>
                </m:r>
                <m:r>
                  <m:rPr>
                    <m:sty m:val="p"/>
                  </m:rPr>
                  <w:rPr>
                    <w:rFonts w:ascii="Cambria Math" w:eastAsia="Cambria Math" w:hAnsi="Cambria Math"/>
                    <w:sz w:val="18"/>
                    <w:szCs w:val="18"/>
                    <w:lang w:val="en-US"/>
                  </w:rPr>
                  <m:t xml:space="preserve">*Selling price of product </m:t>
                </m:r>
                <m:r>
                  <w:rPr>
                    <w:rFonts w:ascii="Cambria Math" w:eastAsia="Cambria Math" w:hAnsi="Cambria Math"/>
                    <w:sz w:val="18"/>
                    <w:szCs w:val="18"/>
                  </w:rPr>
                  <m:t>p</m:t>
                </m:r>
              </m:e>
            </m:nary>
          </m:e>
        </m:d>
        <m:r>
          <m:rPr>
            <m:sty m:val="p"/>
          </m:rPr>
          <w:rPr>
            <w:rFonts w:ascii="Cambria Math" w:eastAsia="Cambria Math" w:hAnsi="Cambria Math"/>
            <w:sz w:val="18"/>
            <w:szCs w:val="18"/>
            <w:lang w:val="en-US"/>
          </w:rPr>
          <m:t>-</m:t>
        </m:r>
        <m:d>
          <m:dPr>
            <m:begChr m:val="["/>
            <m:endChr m:val="]"/>
            <m:ctrlPr>
              <w:rPr>
                <w:rFonts w:ascii="Cambria Math" w:eastAsia="Cambria Math" w:hAnsi="Cambria Math"/>
                <w:sz w:val="18"/>
                <w:szCs w:val="18"/>
              </w:rPr>
            </m:ctrlPr>
          </m:dPr>
          <m:e>
            <m:d>
              <m:dPr>
                <m:ctrlPr>
                  <w:rPr>
                    <w:rFonts w:ascii="Cambria Math" w:eastAsia="Cambria Math" w:hAnsi="Cambria Math"/>
                    <w:sz w:val="18"/>
                    <w:szCs w:val="18"/>
                  </w:rPr>
                </m:ctrlPr>
              </m:dPr>
              <m:e>
                <m:nary>
                  <m:naryPr>
                    <m:chr m:val="∑"/>
                    <m:ctrlPr>
                      <w:rPr>
                        <w:rFonts w:ascii="Cambria Math" w:eastAsia="Cambria Math" w:hAnsi="Cambria Math"/>
                        <w:sz w:val="18"/>
                        <w:szCs w:val="18"/>
                      </w:rPr>
                    </m:ctrlPr>
                  </m:naryPr>
                  <m:sub>
                    <m:r>
                      <m:rPr>
                        <m:sty m:val="p"/>
                      </m:rPr>
                      <w:rPr>
                        <w:rFonts w:ascii="Cambria Math" w:eastAsia="Cambria Math" w:hAnsi="Cambria Math"/>
                        <w:sz w:val="18"/>
                        <w:szCs w:val="18"/>
                        <w:lang w:val="en-US"/>
                      </w:rPr>
                      <m:t>r=1</m:t>
                    </m:r>
                  </m:sub>
                  <m:sup>
                    <m:sSub>
                      <m:sSubPr>
                        <m:ctrlPr>
                          <w:rPr>
                            <w:rFonts w:ascii="Cambria Math" w:eastAsia="Cambria Math" w:hAnsi="Cambria Math"/>
                            <w:sz w:val="18"/>
                            <w:szCs w:val="18"/>
                          </w:rPr>
                        </m:ctrlPr>
                      </m:sSubPr>
                      <m:e>
                        <m:r>
                          <m:rPr>
                            <m:sty m:val="p"/>
                          </m:rPr>
                          <w:rPr>
                            <w:rFonts w:ascii="Cambria Math" w:eastAsia="Cambria Math" w:hAnsi="Cambria Math"/>
                            <w:sz w:val="18"/>
                            <w:szCs w:val="18"/>
                            <w:lang w:val="en-US"/>
                          </w:rPr>
                          <m:t>N</m:t>
                        </m:r>
                      </m:e>
                      <m:sub>
                        <m:r>
                          <m:rPr>
                            <m:sty m:val="p"/>
                          </m:rPr>
                          <w:rPr>
                            <w:rFonts w:ascii="Cambria Math" w:eastAsia="Cambria Math" w:hAnsi="Cambria Math"/>
                            <w:sz w:val="18"/>
                            <w:szCs w:val="18"/>
                            <w:lang w:val="en-US"/>
                          </w:rPr>
                          <m:t>reactants</m:t>
                        </m:r>
                      </m:sub>
                    </m:sSub>
                  </m:sup>
                  <m:e>
                    <m:r>
                      <m:rPr>
                        <m:sty m:val="p"/>
                      </m:rPr>
                      <w:rPr>
                        <w:rFonts w:ascii="Cambria Math" w:eastAsia="Cambria Math" w:hAnsi="Cambria Math"/>
                        <w:sz w:val="18"/>
                        <w:szCs w:val="18"/>
                        <w:lang w:val="en-US"/>
                      </w:rPr>
                      <m:t xml:space="preserve">Feed rate of reactant </m:t>
                    </m:r>
                    <m:r>
                      <w:rPr>
                        <w:rFonts w:ascii="Cambria Math" w:eastAsia="Cambria Math" w:hAnsi="Cambria Math"/>
                        <w:sz w:val="18"/>
                        <w:szCs w:val="18"/>
                      </w:rPr>
                      <m:t>r</m:t>
                    </m:r>
                    <m:r>
                      <m:rPr>
                        <m:sty m:val="p"/>
                      </m:rPr>
                      <w:rPr>
                        <w:rFonts w:ascii="Cambria Math" w:eastAsia="Cambria Math" w:hAnsi="Cambria Math"/>
                        <w:sz w:val="18"/>
                        <w:szCs w:val="18"/>
                        <w:lang w:val="en-US"/>
                      </w:rPr>
                      <m:t xml:space="preserve">* Purchase cost of reactant </m:t>
                    </m:r>
                    <m:r>
                      <w:rPr>
                        <w:rFonts w:ascii="Cambria Math" w:eastAsia="Cambria Math" w:hAnsi="Cambria Math"/>
                        <w:sz w:val="18"/>
                        <w:szCs w:val="18"/>
                      </w:rPr>
                      <m:t>r</m:t>
                    </m:r>
                  </m:e>
                </m:nary>
              </m:e>
            </m:d>
            <m:r>
              <w:rPr>
                <w:rFonts w:ascii="Cambria Math" w:eastAsia="Cambria Math" w:hAnsi="Cambria Math"/>
                <w:sz w:val="18"/>
                <w:szCs w:val="18"/>
                <w:lang w:val="en-US"/>
              </w:rPr>
              <m:t>+</m:t>
            </m:r>
            <m:d>
              <m:dPr>
                <m:ctrlPr>
                  <w:rPr>
                    <w:rFonts w:ascii="Cambria Math" w:eastAsia="Cambria Math" w:hAnsi="Cambria Math"/>
                    <w:i/>
                    <w:sz w:val="18"/>
                    <w:szCs w:val="18"/>
                  </w:rPr>
                </m:ctrlPr>
              </m:dPr>
              <m:e>
                <m:nary>
                  <m:naryPr>
                    <m:chr m:val="∑"/>
                    <m:ctrlPr>
                      <w:rPr>
                        <w:rFonts w:ascii="Cambria Math" w:eastAsia="Cambria Math" w:hAnsi="Cambria Math"/>
                        <w:sz w:val="18"/>
                        <w:szCs w:val="18"/>
                      </w:rPr>
                    </m:ctrlPr>
                  </m:naryPr>
                  <m:sub>
                    <m:r>
                      <m:rPr>
                        <m:sty m:val="p"/>
                      </m:rPr>
                      <w:rPr>
                        <w:rFonts w:ascii="Cambria Math" w:eastAsia="Cambria Math" w:hAnsi="Cambria Math"/>
                        <w:sz w:val="18"/>
                        <w:szCs w:val="18"/>
                        <w:lang w:val="en-US"/>
                      </w:rPr>
                      <m:t>e=1</m:t>
                    </m:r>
                  </m:sub>
                  <m:sup>
                    <m:sSub>
                      <m:sSubPr>
                        <m:ctrlPr>
                          <w:rPr>
                            <w:rFonts w:ascii="Cambria Math" w:eastAsia="Cambria Math" w:hAnsi="Cambria Math"/>
                            <w:sz w:val="18"/>
                            <w:szCs w:val="18"/>
                          </w:rPr>
                        </m:ctrlPr>
                      </m:sSubPr>
                      <m:e>
                        <m:r>
                          <m:rPr>
                            <m:sty m:val="p"/>
                          </m:rPr>
                          <w:rPr>
                            <w:rFonts w:ascii="Cambria Math" w:eastAsia="Cambria Math" w:hAnsi="Cambria Math"/>
                            <w:sz w:val="18"/>
                            <w:szCs w:val="18"/>
                            <w:lang w:val="en-US"/>
                          </w:rPr>
                          <m:t>N</m:t>
                        </m:r>
                      </m:e>
                      <m:sub>
                        <m:r>
                          <m:rPr>
                            <m:sty m:val="p"/>
                          </m:rPr>
                          <w:rPr>
                            <w:rFonts w:ascii="Cambria Math" w:eastAsia="Cambria Math" w:hAnsi="Cambria Math"/>
                            <w:sz w:val="18"/>
                            <w:szCs w:val="18"/>
                            <w:lang w:val="en-US"/>
                          </w:rPr>
                          <m:t>efluents</m:t>
                        </m:r>
                      </m:sub>
                    </m:sSub>
                  </m:sup>
                  <m:e>
                    <m:r>
                      <m:rPr>
                        <m:sty m:val="p"/>
                      </m:rPr>
                      <w:rPr>
                        <w:rFonts w:ascii="Cambria Math" w:eastAsia="Cambria Math" w:hAnsi="Cambria Math"/>
                        <w:sz w:val="18"/>
                        <w:szCs w:val="18"/>
                        <w:lang w:val="en-US"/>
                      </w:rPr>
                      <m:t xml:space="preserve">Effluent generation rate </m:t>
                    </m:r>
                    <m:r>
                      <w:rPr>
                        <w:rFonts w:ascii="Cambria Math" w:eastAsia="Cambria Math" w:hAnsi="Cambria Math"/>
                        <w:sz w:val="18"/>
                        <w:szCs w:val="18"/>
                      </w:rPr>
                      <m:t>e</m:t>
                    </m:r>
                    <m:r>
                      <m:rPr>
                        <m:sty m:val="p"/>
                      </m:rPr>
                      <w:rPr>
                        <w:rFonts w:ascii="Cambria Math" w:eastAsia="Cambria Math" w:hAnsi="Cambria Math"/>
                        <w:sz w:val="18"/>
                        <w:szCs w:val="18"/>
                        <w:lang w:val="en-US"/>
                      </w:rPr>
                      <m:t xml:space="preserve">*cost for effluent treatment </m:t>
                    </m:r>
                    <m:r>
                      <w:rPr>
                        <w:rFonts w:ascii="Cambria Math" w:eastAsia="Cambria Math" w:hAnsi="Cambria Math"/>
                        <w:sz w:val="18"/>
                        <w:szCs w:val="18"/>
                      </w:rPr>
                      <m:t>e</m:t>
                    </m:r>
                  </m:e>
                </m:nary>
              </m:e>
            </m:d>
          </m:e>
        </m:d>
      </m:oMath>
      <w:r w:rsidRPr="00D10E3F">
        <w:rPr>
          <w:sz w:val="18"/>
          <w:szCs w:val="18"/>
          <w:lang w:val="en-US"/>
        </w:rPr>
        <w:t xml:space="preserve"> </w:t>
      </w:r>
      <w:r w:rsidRPr="00D10E3F">
        <w:rPr>
          <w:sz w:val="18"/>
          <w:szCs w:val="18"/>
          <w:lang w:val="en-US"/>
        </w:rPr>
        <w:tab/>
        <w:t xml:space="preserve">               (1)</w:t>
      </w:r>
    </w:p>
    <w:p w14:paraId="37FA79D4" w14:textId="77777777" w:rsidR="00D66A1A" w:rsidRPr="00D10E3F" w:rsidRDefault="00D66A1A" w:rsidP="00712BB2">
      <w:pPr>
        <w:ind w:right="-852"/>
        <w:rPr>
          <w:sz w:val="18"/>
          <w:szCs w:val="18"/>
          <w:lang w:val="en-US"/>
        </w:rPr>
      </w:pPr>
    </w:p>
    <w:p w14:paraId="0BDE7B72" w14:textId="2A3CFA8E" w:rsidR="00D66A1A" w:rsidRPr="00D10E3F" w:rsidRDefault="00D66A1A" w:rsidP="006B04F8">
      <w:pPr>
        <w:spacing w:after="240"/>
        <w:ind w:left="-284" w:right="-851" w:firstLine="425"/>
        <w:jc w:val="center"/>
        <w:rPr>
          <w:sz w:val="18"/>
          <w:szCs w:val="18"/>
          <w:lang w:val="en-US"/>
        </w:rPr>
      </w:pPr>
      <m:oMath>
        <m:r>
          <m:rPr>
            <m:sty m:val="b"/>
          </m:rPr>
          <w:rPr>
            <w:rFonts w:ascii="Cambria Math" w:eastAsia="Cambria Math" w:hAnsi="Cambria Math"/>
            <w:sz w:val="18"/>
            <w:szCs w:val="18"/>
          </w:rPr>
          <m:t>MISR</m:t>
        </m:r>
        <m:r>
          <m:rPr>
            <m:sty m:val="p"/>
          </m:rPr>
          <w:rPr>
            <w:rFonts w:ascii="Cambria Math" w:eastAsia="Cambria Math" w:hAnsi="Cambria Math"/>
            <w:sz w:val="18"/>
            <w:szCs w:val="18"/>
            <w:lang w:val="en-US"/>
          </w:rPr>
          <m:t>=</m:t>
        </m:r>
        <m:f>
          <m:fPr>
            <m:ctrlPr>
              <w:rPr>
                <w:rFonts w:ascii="Cambria Math" w:eastAsia="Cambria Math" w:hAnsi="Cambria Math"/>
                <w:sz w:val="18"/>
                <w:szCs w:val="18"/>
              </w:rPr>
            </m:ctrlPr>
          </m:fPr>
          <m:num>
            <m:nary>
              <m:naryPr>
                <m:chr m:val="∑"/>
                <m:ctrlPr>
                  <w:rPr>
                    <w:rFonts w:ascii="Cambria Math" w:eastAsia="Cambria Math" w:hAnsi="Cambria Math"/>
                    <w:sz w:val="18"/>
                    <w:szCs w:val="18"/>
                  </w:rPr>
                </m:ctrlPr>
              </m:naryPr>
              <m:sub>
                <m:r>
                  <m:rPr>
                    <m:sty m:val="p"/>
                  </m:rPr>
                  <w:rPr>
                    <w:rFonts w:ascii="Cambria Math" w:eastAsia="Cambria Math" w:hAnsi="Cambria Math"/>
                    <w:sz w:val="18"/>
                    <w:szCs w:val="18"/>
                    <w:lang w:val="en-US"/>
                  </w:rPr>
                  <m:t>p=1</m:t>
                </m:r>
              </m:sub>
              <m:sup>
                <m:sSub>
                  <m:sSubPr>
                    <m:ctrlPr>
                      <w:rPr>
                        <w:rFonts w:ascii="Cambria Math" w:eastAsia="Cambria Math" w:hAnsi="Cambria Math"/>
                        <w:sz w:val="18"/>
                        <w:szCs w:val="18"/>
                      </w:rPr>
                    </m:ctrlPr>
                  </m:sSubPr>
                  <m:e>
                    <m:r>
                      <m:rPr>
                        <m:sty m:val="p"/>
                      </m:rPr>
                      <w:rPr>
                        <w:rFonts w:ascii="Cambria Math" w:eastAsia="Cambria Math" w:hAnsi="Cambria Math"/>
                        <w:sz w:val="18"/>
                        <w:szCs w:val="18"/>
                        <w:lang w:val="en-US"/>
                      </w:rPr>
                      <m:t>N</m:t>
                    </m:r>
                  </m:e>
                  <m:sub>
                    <m:r>
                      <m:rPr>
                        <m:sty m:val="p"/>
                      </m:rPr>
                      <w:rPr>
                        <w:rFonts w:ascii="Cambria Math" w:eastAsia="Cambria Math" w:hAnsi="Cambria Math"/>
                        <w:sz w:val="18"/>
                        <w:szCs w:val="18"/>
                        <w:lang w:val="en-US"/>
                      </w:rPr>
                      <m:t>products</m:t>
                    </m:r>
                  </m:sub>
                </m:sSub>
              </m:sup>
              <m:e>
                <m:r>
                  <m:rPr>
                    <m:sty m:val="p"/>
                  </m:rPr>
                  <w:rPr>
                    <w:rFonts w:ascii="Cambria Math" w:eastAsia="Cambria Math" w:hAnsi="Cambria Math"/>
                    <w:sz w:val="18"/>
                    <w:szCs w:val="18"/>
                    <w:lang w:val="en-US"/>
                  </w:rPr>
                  <m:t xml:space="preserve">Production rate of product </m:t>
                </m:r>
                <m:r>
                  <w:rPr>
                    <w:rFonts w:ascii="Cambria Math" w:eastAsia="Cambria Math" w:hAnsi="Cambria Math"/>
                    <w:sz w:val="18"/>
                    <w:szCs w:val="18"/>
                  </w:rPr>
                  <m:t>p</m:t>
                </m:r>
                <m:r>
                  <m:rPr>
                    <m:sty m:val="p"/>
                  </m:rPr>
                  <w:rPr>
                    <w:rFonts w:ascii="Cambria Math" w:eastAsia="Cambria Math" w:hAnsi="Cambria Math"/>
                    <w:sz w:val="18"/>
                    <w:szCs w:val="18"/>
                    <w:lang w:val="en-US"/>
                  </w:rPr>
                  <m:t>*Selling price of product</m:t>
                </m:r>
                <m:r>
                  <w:rPr>
                    <w:rFonts w:ascii="Cambria Math" w:eastAsia="Cambria Math" w:hAnsi="Cambria Math"/>
                    <w:sz w:val="18"/>
                    <w:szCs w:val="18"/>
                    <w:lang w:val="en-US"/>
                  </w:rPr>
                  <m:t xml:space="preserve"> </m:t>
                </m:r>
                <m:r>
                  <w:rPr>
                    <w:rFonts w:ascii="Cambria Math" w:eastAsia="Cambria Math" w:hAnsi="Cambria Math"/>
                    <w:sz w:val="18"/>
                    <w:szCs w:val="18"/>
                  </w:rPr>
                  <m:t>p</m:t>
                </m:r>
              </m:e>
            </m:nary>
            <m:r>
              <m:rPr>
                <m:sty m:val="p"/>
              </m:rPr>
              <w:rPr>
                <w:rFonts w:ascii="Cambria Math" w:eastAsia="Cambria Math" w:hAnsi="Cambria Math"/>
                <w:sz w:val="18"/>
                <w:szCs w:val="18"/>
                <w:lang w:val="en-US"/>
              </w:rPr>
              <m:t xml:space="preserve"> </m:t>
            </m:r>
          </m:num>
          <m:den>
            <m:d>
              <m:dPr>
                <m:ctrlPr>
                  <w:rPr>
                    <w:rFonts w:ascii="Cambria Math" w:eastAsia="Cambria Math" w:hAnsi="Cambria Math"/>
                    <w:sz w:val="18"/>
                    <w:szCs w:val="18"/>
                  </w:rPr>
                </m:ctrlPr>
              </m:dPr>
              <m:e>
                <m:eqArr>
                  <m:eqArrPr>
                    <m:ctrlPr>
                      <w:rPr>
                        <w:rFonts w:ascii="Cambria Math" w:eastAsia="Cambria Math" w:hAnsi="Cambria Math"/>
                        <w:sz w:val="18"/>
                        <w:szCs w:val="18"/>
                      </w:rPr>
                    </m:ctrlPr>
                  </m:eqArrPr>
                  <m:e>
                    <m:nary>
                      <m:naryPr>
                        <m:chr m:val="∑"/>
                        <m:ctrlPr>
                          <w:rPr>
                            <w:rFonts w:ascii="Cambria Math" w:eastAsia="Cambria Math" w:hAnsi="Cambria Math"/>
                            <w:sz w:val="18"/>
                            <w:szCs w:val="18"/>
                          </w:rPr>
                        </m:ctrlPr>
                      </m:naryPr>
                      <m:sub>
                        <m:r>
                          <m:rPr>
                            <m:sty m:val="p"/>
                          </m:rPr>
                          <w:rPr>
                            <w:rFonts w:ascii="Cambria Math" w:eastAsia="Cambria Math" w:hAnsi="Cambria Math"/>
                            <w:sz w:val="18"/>
                            <w:szCs w:val="18"/>
                            <w:lang w:val="en-US"/>
                          </w:rPr>
                          <m:t>r=1</m:t>
                        </m:r>
                      </m:sub>
                      <m:sup>
                        <m:sSub>
                          <m:sSubPr>
                            <m:ctrlPr>
                              <w:rPr>
                                <w:rFonts w:ascii="Cambria Math" w:eastAsia="Cambria Math" w:hAnsi="Cambria Math"/>
                                <w:sz w:val="18"/>
                                <w:szCs w:val="18"/>
                              </w:rPr>
                            </m:ctrlPr>
                          </m:sSubPr>
                          <m:e>
                            <m:r>
                              <m:rPr>
                                <m:sty m:val="p"/>
                              </m:rPr>
                              <w:rPr>
                                <w:rFonts w:ascii="Cambria Math" w:eastAsia="Cambria Math" w:hAnsi="Cambria Math"/>
                                <w:sz w:val="18"/>
                                <w:szCs w:val="18"/>
                                <w:lang w:val="en-US"/>
                              </w:rPr>
                              <m:t>N</m:t>
                            </m:r>
                          </m:e>
                          <m:sub>
                            <m:r>
                              <m:rPr>
                                <m:sty m:val="p"/>
                              </m:rPr>
                              <w:rPr>
                                <w:rFonts w:ascii="Cambria Math" w:eastAsia="Cambria Math" w:hAnsi="Cambria Math"/>
                                <w:sz w:val="18"/>
                                <w:szCs w:val="18"/>
                                <w:lang w:val="en-US"/>
                              </w:rPr>
                              <m:t>reactants</m:t>
                            </m:r>
                          </m:sub>
                        </m:sSub>
                      </m:sup>
                      <m:e>
                        <m:r>
                          <m:rPr>
                            <m:sty m:val="p"/>
                          </m:rPr>
                          <w:rPr>
                            <w:rFonts w:ascii="Cambria Math" w:eastAsia="Cambria Math" w:hAnsi="Cambria Math"/>
                            <w:sz w:val="18"/>
                            <w:szCs w:val="18"/>
                            <w:lang w:val="en-US"/>
                          </w:rPr>
                          <m:t xml:space="preserve">Feed rate of reactant </m:t>
                        </m:r>
                        <m:r>
                          <w:rPr>
                            <w:rFonts w:ascii="Cambria Math" w:eastAsia="Cambria Math" w:hAnsi="Cambria Math"/>
                            <w:sz w:val="18"/>
                            <w:szCs w:val="18"/>
                            <w:lang w:val="pt-BR"/>
                          </w:rPr>
                          <m:t>r</m:t>
                        </m:r>
                        <m:r>
                          <m:rPr>
                            <m:sty m:val="p"/>
                          </m:rPr>
                          <w:rPr>
                            <w:rFonts w:ascii="Cambria Math" w:eastAsia="Cambria Math" w:hAnsi="Cambria Math"/>
                            <w:sz w:val="18"/>
                            <w:szCs w:val="18"/>
                            <w:lang w:val="en-US"/>
                          </w:rPr>
                          <m:t xml:space="preserve">* Purchase cost of reactant </m:t>
                        </m:r>
                        <m:r>
                          <w:rPr>
                            <w:rFonts w:ascii="Cambria Math" w:eastAsia="Cambria Math" w:hAnsi="Cambria Math"/>
                            <w:sz w:val="18"/>
                            <w:szCs w:val="18"/>
                            <w:lang w:val="pt-BR"/>
                          </w:rPr>
                          <m:t>r</m:t>
                        </m:r>
                      </m:e>
                    </m:nary>
                    <m:r>
                      <m:rPr>
                        <m:sty m:val="p"/>
                      </m:rPr>
                      <w:rPr>
                        <w:rFonts w:ascii="Cambria Math" w:eastAsia="Cambria Math" w:hAnsi="Cambria Math"/>
                        <w:sz w:val="18"/>
                        <w:szCs w:val="18"/>
                        <w:lang w:val="en-US"/>
                      </w:rPr>
                      <m:t xml:space="preserve"> +</m:t>
                    </m:r>
                  </m:e>
                  <m:e>
                    <m:nary>
                      <m:naryPr>
                        <m:chr m:val="∑"/>
                        <m:ctrlPr>
                          <w:rPr>
                            <w:rFonts w:ascii="Cambria Math" w:eastAsia="Cambria Math" w:hAnsi="Cambria Math"/>
                            <w:sz w:val="18"/>
                            <w:szCs w:val="18"/>
                          </w:rPr>
                        </m:ctrlPr>
                      </m:naryPr>
                      <m:sub>
                        <m:r>
                          <m:rPr>
                            <m:sty m:val="p"/>
                          </m:rPr>
                          <w:rPr>
                            <w:rFonts w:ascii="Cambria Math" w:eastAsia="Cambria Math" w:hAnsi="Cambria Math"/>
                            <w:sz w:val="18"/>
                            <w:szCs w:val="18"/>
                            <w:lang w:val="en-US"/>
                          </w:rPr>
                          <m:t>e=1</m:t>
                        </m:r>
                      </m:sub>
                      <m:sup>
                        <m:sSub>
                          <m:sSubPr>
                            <m:ctrlPr>
                              <w:rPr>
                                <w:rFonts w:ascii="Cambria Math" w:eastAsia="Cambria Math" w:hAnsi="Cambria Math"/>
                                <w:sz w:val="18"/>
                                <w:szCs w:val="18"/>
                              </w:rPr>
                            </m:ctrlPr>
                          </m:sSubPr>
                          <m:e>
                            <m:r>
                              <m:rPr>
                                <m:sty m:val="p"/>
                              </m:rPr>
                              <w:rPr>
                                <w:rFonts w:ascii="Cambria Math" w:eastAsia="Cambria Math" w:hAnsi="Cambria Math"/>
                                <w:sz w:val="18"/>
                                <w:szCs w:val="18"/>
                                <w:lang w:val="en-US"/>
                              </w:rPr>
                              <m:t>N</m:t>
                            </m:r>
                          </m:e>
                          <m:sub>
                            <m:r>
                              <m:rPr>
                                <m:sty m:val="p"/>
                              </m:rPr>
                              <w:rPr>
                                <w:rFonts w:ascii="Cambria Math" w:eastAsia="Cambria Math" w:hAnsi="Cambria Math"/>
                                <w:sz w:val="18"/>
                                <w:szCs w:val="18"/>
                                <w:lang w:val="en-US"/>
                              </w:rPr>
                              <m:t>efflluents</m:t>
                            </m:r>
                          </m:sub>
                        </m:sSub>
                      </m:sup>
                      <m:e>
                        <m:r>
                          <m:rPr>
                            <m:sty m:val="p"/>
                          </m:rPr>
                          <w:rPr>
                            <w:rFonts w:ascii="Cambria Math" w:eastAsia="Cambria Math" w:hAnsi="Cambria Math"/>
                            <w:sz w:val="18"/>
                            <w:szCs w:val="18"/>
                            <w:lang w:val="en-US"/>
                          </w:rPr>
                          <m:t xml:space="preserve">Effluent generation rate </m:t>
                        </m:r>
                        <m:r>
                          <w:rPr>
                            <w:rFonts w:ascii="Cambria Math" w:eastAsia="Cambria Math" w:hAnsi="Cambria Math"/>
                            <w:sz w:val="18"/>
                            <w:szCs w:val="18"/>
                          </w:rPr>
                          <m:t>e</m:t>
                        </m:r>
                        <m:r>
                          <m:rPr>
                            <m:sty m:val="p"/>
                          </m:rPr>
                          <w:rPr>
                            <w:rFonts w:ascii="Cambria Math" w:eastAsia="Cambria Math" w:hAnsi="Cambria Math"/>
                            <w:sz w:val="18"/>
                            <w:szCs w:val="18"/>
                            <w:lang w:val="en-US"/>
                          </w:rPr>
                          <m:t xml:space="preserve">*cost for effluent treatment </m:t>
                        </m:r>
                        <m:r>
                          <w:rPr>
                            <w:rFonts w:ascii="Cambria Math" w:eastAsia="Cambria Math" w:hAnsi="Cambria Math"/>
                            <w:sz w:val="18"/>
                            <w:szCs w:val="18"/>
                          </w:rPr>
                          <m:t>e</m:t>
                        </m:r>
                      </m:e>
                    </m:nary>
                    <m:r>
                      <m:rPr>
                        <m:sty m:val="p"/>
                      </m:rPr>
                      <w:rPr>
                        <w:rFonts w:ascii="Cambria Math" w:eastAsia="Cambria Math" w:hAnsi="Cambria Math"/>
                        <w:sz w:val="18"/>
                        <w:szCs w:val="18"/>
                        <w:lang w:val="en-US"/>
                      </w:rPr>
                      <m:t xml:space="preserve"> </m:t>
                    </m:r>
                  </m:e>
                </m:eqArr>
              </m:e>
            </m:d>
          </m:den>
        </m:f>
      </m:oMath>
      <w:r w:rsidRPr="00D10E3F">
        <w:rPr>
          <w:sz w:val="18"/>
          <w:szCs w:val="18"/>
          <w:lang w:val="en-US"/>
        </w:rPr>
        <w:t xml:space="preserve">  </w:t>
      </w:r>
      <w:r w:rsidRPr="00D10E3F">
        <w:rPr>
          <w:sz w:val="18"/>
          <w:szCs w:val="18"/>
          <w:lang w:val="en-US"/>
        </w:rPr>
        <w:tab/>
      </w:r>
      <w:r w:rsidRPr="00D10E3F">
        <w:rPr>
          <w:sz w:val="18"/>
          <w:szCs w:val="18"/>
          <w:lang w:val="en-US"/>
        </w:rPr>
        <w:tab/>
        <w:t>(2)</w:t>
      </w:r>
    </w:p>
    <w:p w14:paraId="45CB8D39" w14:textId="27835A51" w:rsidR="00695094" w:rsidRDefault="00A11A89" w:rsidP="00CE25A0">
      <w:pPr>
        <w:spacing w:before="80"/>
        <w:rPr>
          <w:lang w:val="en-US"/>
        </w:rPr>
      </w:pPr>
      <w:r>
        <w:rPr>
          <w:lang w:val="en-US"/>
        </w:rPr>
        <w:t>Table 2</w:t>
      </w:r>
      <w:r w:rsidR="00695094" w:rsidRPr="00695094">
        <w:rPr>
          <w:lang w:val="en-US"/>
        </w:rPr>
        <w:t>. Prices of feedstock, products, and effluent treatment costs.</w:t>
      </w:r>
    </w:p>
    <w:tbl>
      <w:tblPr>
        <w:tblStyle w:val="Tabelacomgrade"/>
        <w:tblW w:w="6804"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4394"/>
      </w:tblGrid>
      <w:tr w:rsidR="00695094" w:rsidRPr="0067432D" w14:paraId="26F2F39C" w14:textId="77777777" w:rsidTr="002D32B6">
        <w:trPr>
          <w:jc w:val="center"/>
        </w:trPr>
        <w:tc>
          <w:tcPr>
            <w:tcW w:w="2410" w:type="dxa"/>
            <w:tcBorders>
              <w:top w:val="single" w:sz="4" w:space="0" w:color="auto"/>
              <w:bottom w:val="single" w:sz="4" w:space="0" w:color="auto"/>
            </w:tcBorders>
            <w:vAlign w:val="center"/>
          </w:tcPr>
          <w:p w14:paraId="26AC60E2" w14:textId="77777777" w:rsidR="00695094" w:rsidRPr="004623AB" w:rsidRDefault="00695094" w:rsidP="00D60DED">
            <w:pPr>
              <w:jc w:val="center"/>
              <w:rPr>
                <w:rFonts w:ascii="Times New Roman" w:hAnsi="Times New Roman" w:cs="Times New Roman"/>
                <w:b/>
                <w:sz w:val="16"/>
                <w:szCs w:val="20"/>
              </w:rPr>
            </w:pPr>
            <w:r>
              <w:rPr>
                <w:rFonts w:ascii="Times New Roman" w:hAnsi="Times New Roman" w:cs="Times New Roman"/>
                <w:b/>
                <w:sz w:val="16"/>
                <w:szCs w:val="20"/>
              </w:rPr>
              <w:t>Feedstock</w:t>
            </w:r>
          </w:p>
        </w:tc>
        <w:tc>
          <w:tcPr>
            <w:tcW w:w="4394" w:type="dxa"/>
            <w:tcBorders>
              <w:top w:val="single" w:sz="4" w:space="0" w:color="auto"/>
              <w:bottom w:val="single" w:sz="4" w:space="0" w:color="auto"/>
            </w:tcBorders>
            <w:vAlign w:val="center"/>
          </w:tcPr>
          <w:p w14:paraId="3E0D7FF7" w14:textId="02E99A7A" w:rsidR="00695094" w:rsidRPr="0067432D" w:rsidRDefault="00695094" w:rsidP="00D60DED">
            <w:pPr>
              <w:jc w:val="center"/>
              <w:rPr>
                <w:rFonts w:ascii="Times New Roman" w:hAnsi="Times New Roman" w:cs="Times New Roman"/>
                <w:b/>
                <w:sz w:val="16"/>
                <w:szCs w:val="20"/>
                <w:vertAlign w:val="superscript"/>
                <w:lang w:val="en-US"/>
              </w:rPr>
            </w:pPr>
            <w:r w:rsidRPr="0067432D">
              <w:rPr>
                <w:rFonts w:ascii="Times New Roman" w:hAnsi="Times New Roman" w:cs="Times New Roman"/>
                <w:b/>
                <w:sz w:val="16"/>
                <w:szCs w:val="20"/>
                <w:lang w:val="en-US"/>
              </w:rPr>
              <w:t>Price</w:t>
            </w:r>
            <w:r w:rsidRPr="0067432D">
              <w:rPr>
                <w:rFonts w:ascii="Times New Roman" w:hAnsi="Times New Roman" w:cs="Times New Roman"/>
                <w:b/>
                <w:sz w:val="16"/>
                <w:szCs w:val="20"/>
                <w:vertAlign w:val="superscript"/>
                <w:lang w:val="en-US"/>
              </w:rPr>
              <w:t xml:space="preserve"> </w:t>
            </w:r>
            <w:r w:rsidRPr="0067432D">
              <w:rPr>
                <w:rFonts w:ascii="Times New Roman" w:hAnsi="Times New Roman" w:cs="Times New Roman"/>
                <w:b/>
                <w:sz w:val="16"/>
                <w:szCs w:val="20"/>
                <w:lang w:val="en-US"/>
              </w:rPr>
              <w:t>(Moreno-Sader et al., 2021)</w:t>
            </w:r>
          </w:p>
        </w:tc>
      </w:tr>
      <w:tr w:rsidR="00695094" w:rsidRPr="00CE25A0" w14:paraId="07221B60" w14:textId="77777777" w:rsidTr="002D32B6">
        <w:trPr>
          <w:jc w:val="center"/>
        </w:trPr>
        <w:tc>
          <w:tcPr>
            <w:tcW w:w="2410" w:type="dxa"/>
            <w:tcBorders>
              <w:top w:val="single" w:sz="4" w:space="0" w:color="auto"/>
            </w:tcBorders>
            <w:vAlign w:val="center"/>
          </w:tcPr>
          <w:p w14:paraId="51786915" w14:textId="77777777" w:rsidR="00695094" w:rsidRPr="004623AB" w:rsidRDefault="00695094" w:rsidP="00D60DED">
            <w:pPr>
              <w:jc w:val="center"/>
              <w:rPr>
                <w:rFonts w:ascii="Times New Roman" w:hAnsi="Times New Roman" w:cs="Times New Roman"/>
                <w:sz w:val="16"/>
                <w:szCs w:val="20"/>
              </w:rPr>
            </w:pPr>
            <w:r>
              <w:rPr>
                <w:rFonts w:ascii="Times New Roman" w:hAnsi="Times New Roman" w:cs="Times New Roman"/>
                <w:sz w:val="16"/>
                <w:szCs w:val="20"/>
              </w:rPr>
              <w:t>S</w:t>
            </w:r>
            <w:r w:rsidRPr="0067432D">
              <w:rPr>
                <w:rFonts w:ascii="Times New Roman" w:hAnsi="Times New Roman" w:cs="Times New Roman"/>
                <w:sz w:val="16"/>
                <w:szCs w:val="20"/>
              </w:rPr>
              <w:t>odium metabisulfite</w:t>
            </w:r>
          </w:p>
        </w:tc>
        <w:tc>
          <w:tcPr>
            <w:tcW w:w="4394" w:type="dxa"/>
            <w:tcBorders>
              <w:top w:val="single" w:sz="4" w:space="0" w:color="auto"/>
            </w:tcBorders>
            <w:vAlign w:val="center"/>
          </w:tcPr>
          <w:p w14:paraId="13643A6D" w14:textId="77777777" w:rsidR="00695094" w:rsidRPr="004623AB" w:rsidRDefault="00695094" w:rsidP="00D60DED">
            <w:pPr>
              <w:jc w:val="center"/>
              <w:rPr>
                <w:rFonts w:ascii="Times New Roman" w:hAnsi="Times New Roman" w:cs="Times New Roman"/>
                <w:sz w:val="16"/>
                <w:szCs w:val="20"/>
              </w:rPr>
            </w:pPr>
            <w:r w:rsidRPr="004623AB">
              <w:rPr>
                <w:rFonts w:ascii="Times New Roman" w:hAnsi="Times New Roman" w:cs="Times New Roman"/>
                <w:sz w:val="16"/>
                <w:szCs w:val="20"/>
              </w:rPr>
              <w:t>$</w:t>
            </w:r>
            <w:r>
              <w:rPr>
                <w:rFonts w:ascii="Times New Roman" w:hAnsi="Times New Roman" w:cs="Times New Roman"/>
                <w:sz w:val="16"/>
                <w:szCs w:val="20"/>
              </w:rPr>
              <w:t xml:space="preserve"> </w:t>
            </w:r>
            <w:r w:rsidRPr="004623AB">
              <w:rPr>
                <w:rFonts w:ascii="Times New Roman" w:hAnsi="Times New Roman" w:cs="Times New Roman"/>
                <w:sz w:val="16"/>
                <w:szCs w:val="20"/>
              </w:rPr>
              <w:t>0,50/kg</w:t>
            </w:r>
          </w:p>
        </w:tc>
      </w:tr>
      <w:tr w:rsidR="00695094" w:rsidRPr="00CE25A0" w14:paraId="60D8DBC8" w14:textId="77777777" w:rsidTr="002D32B6">
        <w:trPr>
          <w:jc w:val="center"/>
        </w:trPr>
        <w:tc>
          <w:tcPr>
            <w:tcW w:w="2410" w:type="dxa"/>
            <w:vAlign w:val="center"/>
          </w:tcPr>
          <w:p w14:paraId="4280F90F" w14:textId="77777777" w:rsidR="00695094" w:rsidRPr="004623AB" w:rsidRDefault="00695094" w:rsidP="00D60DED">
            <w:pPr>
              <w:jc w:val="center"/>
              <w:rPr>
                <w:rFonts w:ascii="Times New Roman" w:hAnsi="Times New Roman" w:cs="Times New Roman"/>
                <w:sz w:val="16"/>
                <w:szCs w:val="20"/>
              </w:rPr>
            </w:pPr>
            <w:r w:rsidRPr="004623AB">
              <w:rPr>
                <w:rFonts w:ascii="Times New Roman" w:hAnsi="Times New Roman" w:cs="Times New Roman"/>
                <w:sz w:val="16"/>
                <w:szCs w:val="20"/>
              </w:rPr>
              <w:t>Et</w:t>
            </w:r>
            <w:r>
              <w:rPr>
                <w:rFonts w:ascii="Times New Roman" w:hAnsi="Times New Roman" w:cs="Times New Roman"/>
                <w:sz w:val="16"/>
                <w:szCs w:val="20"/>
              </w:rPr>
              <w:t>h</w:t>
            </w:r>
            <w:r w:rsidRPr="004623AB">
              <w:rPr>
                <w:rFonts w:ascii="Times New Roman" w:hAnsi="Times New Roman" w:cs="Times New Roman"/>
                <w:sz w:val="16"/>
                <w:szCs w:val="20"/>
              </w:rPr>
              <w:t>anol</w:t>
            </w:r>
          </w:p>
        </w:tc>
        <w:tc>
          <w:tcPr>
            <w:tcW w:w="4394" w:type="dxa"/>
            <w:vAlign w:val="center"/>
          </w:tcPr>
          <w:p w14:paraId="68DF7D5A" w14:textId="77777777" w:rsidR="00695094" w:rsidRPr="004623AB" w:rsidRDefault="00695094" w:rsidP="00D60DED">
            <w:pPr>
              <w:jc w:val="center"/>
              <w:rPr>
                <w:rFonts w:ascii="Times New Roman" w:hAnsi="Times New Roman" w:cs="Times New Roman"/>
                <w:sz w:val="16"/>
                <w:szCs w:val="20"/>
              </w:rPr>
            </w:pPr>
            <w:r w:rsidRPr="004623AB">
              <w:rPr>
                <w:rFonts w:ascii="Times New Roman" w:hAnsi="Times New Roman" w:cs="Times New Roman"/>
                <w:sz w:val="16"/>
                <w:szCs w:val="20"/>
              </w:rPr>
              <w:t>$</w:t>
            </w:r>
            <w:r>
              <w:rPr>
                <w:rFonts w:ascii="Times New Roman" w:hAnsi="Times New Roman" w:cs="Times New Roman"/>
                <w:sz w:val="16"/>
                <w:szCs w:val="20"/>
              </w:rPr>
              <w:t xml:space="preserve"> </w:t>
            </w:r>
            <w:r w:rsidRPr="004623AB">
              <w:rPr>
                <w:rFonts w:ascii="Times New Roman" w:hAnsi="Times New Roman" w:cs="Times New Roman"/>
                <w:sz w:val="16"/>
                <w:szCs w:val="20"/>
              </w:rPr>
              <w:t>0,85/kg</w:t>
            </w:r>
          </w:p>
        </w:tc>
      </w:tr>
      <w:tr w:rsidR="00695094" w:rsidRPr="00CE25A0" w14:paraId="35591DDF" w14:textId="77777777" w:rsidTr="002D32B6">
        <w:trPr>
          <w:jc w:val="center"/>
        </w:trPr>
        <w:tc>
          <w:tcPr>
            <w:tcW w:w="2410" w:type="dxa"/>
            <w:vAlign w:val="center"/>
          </w:tcPr>
          <w:p w14:paraId="7A746BAF" w14:textId="77777777" w:rsidR="00695094" w:rsidRPr="004623AB" w:rsidRDefault="00695094" w:rsidP="00D60DED">
            <w:pPr>
              <w:jc w:val="center"/>
              <w:rPr>
                <w:rFonts w:ascii="Times New Roman" w:hAnsi="Times New Roman" w:cs="Times New Roman"/>
                <w:sz w:val="16"/>
                <w:szCs w:val="20"/>
              </w:rPr>
            </w:pPr>
            <w:r w:rsidRPr="004623AB">
              <w:rPr>
                <w:rFonts w:ascii="Times New Roman" w:hAnsi="Times New Roman" w:cs="Times New Roman"/>
                <w:sz w:val="16"/>
                <w:szCs w:val="20"/>
              </w:rPr>
              <w:t>HCl</w:t>
            </w:r>
          </w:p>
        </w:tc>
        <w:tc>
          <w:tcPr>
            <w:tcW w:w="4394" w:type="dxa"/>
            <w:vAlign w:val="center"/>
          </w:tcPr>
          <w:p w14:paraId="5F540538" w14:textId="77777777" w:rsidR="00695094" w:rsidRPr="004623AB" w:rsidRDefault="00695094" w:rsidP="00D60DED">
            <w:pPr>
              <w:jc w:val="center"/>
              <w:rPr>
                <w:rFonts w:ascii="Times New Roman" w:hAnsi="Times New Roman" w:cs="Times New Roman"/>
                <w:sz w:val="16"/>
                <w:szCs w:val="20"/>
              </w:rPr>
            </w:pPr>
            <w:r w:rsidRPr="004623AB">
              <w:rPr>
                <w:rFonts w:ascii="Times New Roman" w:hAnsi="Times New Roman" w:cs="Times New Roman"/>
                <w:sz w:val="16"/>
                <w:szCs w:val="20"/>
              </w:rPr>
              <w:t>$</w:t>
            </w:r>
            <w:r>
              <w:rPr>
                <w:rFonts w:ascii="Times New Roman" w:hAnsi="Times New Roman" w:cs="Times New Roman"/>
                <w:sz w:val="16"/>
                <w:szCs w:val="20"/>
              </w:rPr>
              <w:t xml:space="preserve"> </w:t>
            </w:r>
            <w:r w:rsidRPr="004623AB">
              <w:rPr>
                <w:rFonts w:ascii="Times New Roman" w:hAnsi="Times New Roman" w:cs="Times New Roman"/>
                <w:sz w:val="16"/>
                <w:szCs w:val="20"/>
              </w:rPr>
              <w:t>0,30/kg</w:t>
            </w:r>
          </w:p>
        </w:tc>
      </w:tr>
      <w:tr w:rsidR="00695094" w:rsidRPr="0067432D" w14:paraId="32F1A743" w14:textId="77777777" w:rsidTr="002D32B6">
        <w:trPr>
          <w:jc w:val="center"/>
        </w:trPr>
        <w:tc>
          <w:tcPr>
            <w:tcW w:w="2410" w:type="dxa"/>
            <w:tcBorders>
              <w:bottom w:val="nil"/>
            </w:tcBorders>
            <w:vAlign w:val="center"/>
          </w:tcPr>
          <w:p w14:paraId="36DBB666" w14:textId="77777777" w:rsidR="00695094" w:rsidRPr="004623AB" w:rsidRDefault="00695094" w:rsidP="00D60DED">
            <w:pPr>
              <w:jc w:val="center"/>
              <w:rPr>
                <w:rFonts w:ascii="Times New Roman" w:hAnsi="Times New Roman" w:cs="Times New Roman"/>
                <w:sz w:val="16"/>
                <w:szCs w:val="20"/>
              </w:rPr>
            </w:pPr>
            <w:r w:rsidRPr="004623AB">
              <w:rPr>
                <w:rFonts w:ascii="Times New Roman" w:hAnsi="Times New Roman" w:cs="Times New Roman"/>
                <w:sz w:val="16"/>
                <w:szCs w:val="20"/>
              </w:rPr>
              <w:t>NaOH</w:t>
            </w:r>
          </w:p>
        </w:tc>
        <w:tc>
          <w:tcPr>
            <w:tcW w:w="4394" w:type="dxa"/>
            <w:tcBorders>
              <w:bottom w:val="nil"/>
            </w:tcBorders>
            <w:vAlign w:val="center"/>
          </w:tcPr>
          <w:p w14:paraId="25F13E59" w14:textId="77777777" w:rsidR="00695094" w:rsidRPr="004623AB" w:rsidRDefault="00695094" w:rsidP="00D60DED">
            <w:pPr>
              <w:jc w:val="center"/>
              <w:rPr>
                <w:rFonts w:ascii="Times New Roman" w:hAnsi="Times New Roman" w:cs="Times New Roman"/>
                <w:sz w:val="16"/>
                <w:szCs w:val="20"/>
              </w:rPr>
            </w:pPr>
            <w:r w:rsidRPr="004623AB">
              <w:rPr>
                <w:rFonts w:ascii="Times New Roman" w:hAnsi="Times New Roman" w:cs="Times New Roman"/>
                <w:sz w:val="16"/>
                <w:szCs w:val="20"/>
              </w:rPr>
              <w:t>$</w:t>
            </w:r>
            <w:r>
              <w:rPr>
                <w:rFonts w:ascii="Times New Roman" w:hAnsi="Times New Roman" w:cs="Times New Roman"/>
                <w:sz w:val="16"/>
                <w:szCs w:val="20"/>
              </w:rPr>
              <w:t xml:space="preserve"> </w:t>
            </w:r>
            <w:r w:rsidRPr="004623AB">
              <w:rPr>
                <w:rFonts w:ascii="Times New Roman" w:hAnsi="Times New Roman" w:cs="Times New Roman"/>
                <w:sz w:val="16"/>
                <w:szCs w:val="20"/>
              </w:rPr>
              <w:t>0,20/kg</w:t>
            </w:r>
          </w:p>
        </w:tc>
      </w:tr>
      <w:tr w:rsidR="00695094" w:rsidRPr="004623AB" w14:paraId="5129D242" w14:textId="77777777" w:rsidTr="002D32B6">
        <w:trPr>
          <w:jc w:val="center"/>
        </w:trPr>
        <w:tc>
          <w:tcPr>
            <w:tcW w:w="2410" w:type="dxa"/>
            <w:tcBorders>
              <w:top w:val="nil"/>
              <w:bottom w:val="single" w:sz="4" w:space="0" w:color="auto"/>
            </w:tcBorders>
            <w:vAlign w:val="center"/>
          </w:tcPr>
          <w:p w14:paraId="7BAA8164" w14:textId="56D7DC90" w:rsidR="00695094" w:rsidRPr="0067432D" w:rsidRDefault="00695094" w:rsidP="00D60DED">
            <w:pPr>
              <w:jc w:val="center"/>
              <w:rPr>
                <w:rFonts w:ascii="Times New Roman" w:hAnsi="Times New Roman" w:cs="Times New Roman"/>
                <w:sz w:val="16"/>
                <w:szCs w:val="20"/>
                <w:lang w:val="en-US"/>
              </w:rPr>
            </w:pPr>
            <w:r w:rsidRPr="0067432D">
              <w:rPr>
                <w:rFonts w:ascii="Times New Roman" w:hAnsi="Times New Roman" w:cs="Times New Roman"/>
                <w:sz w:val="16"/>
                <w:szCs w:val="20"/>
                <w:lang w:val="en-US"/>
              </w:rPr>
              <w:t>Freshwa</w:t>
            </w:r>
            <w:r>
              <w:rPr>
                <w:rFonts w:ascii="Times New Roman" w:hAnsi="Times New Roman" w:cs="Times New Roman"/>
                <w:sz w:val="16"/>
                <w:szCs w:val="20"/>
                <w:lang w:val="en-US"/>
              </w:rPr>
              <w:t>ter</w:t>
            </w:r>
            <w:r w:rsidRPr="0067432D">
              <w:rPr>
                <w:rFonts w:ascii="Times New Roman" w:hAnsi="Times New Roman" w:cs="Times New Roman"/>
                <w:sz w:val="16"/>
                <w:szCs w:val="20"/>
                <w:lang w:val="en-US"/>
              </w:rPr>
              <w:t xml:space="preserve"> (Turton et al., 2018)</w:t>
            </w:r>
          </w:p>
        </w:tc>
        <w:tc>
          <w:tcPr>
            <w:tcW w:w="4394" w:type="dxa"/>
            <w:tcBorders>
              <w:top w:val="nil"/>
              <w:bottom w:val="single" w:sz="4" w:space="0" w:color="auto"/>
            </w:tcBorders>
            <w:vAlign w:val="center"/>
          </w:tcPr>
          <w:p w14:paraId="5732C12D" w14:textId="77777777" w:rsidR="00695094" w:rsidRPr="004623AB" w:rsidRDefault="00695094" w:rsidP="00D60DED">
            <w:pPr>
              <w:jc w:val="center"/>
              <w:rPr>
                <w:rFonts w:ascii="Times New Roman" w:hAnsi="Times New Roman" w:cs="Times New Roman"/>
                <w:sz w:val="16"/>
                <w:szCs w:val="20"/>
                <w:vertAlign w:val="superscript"/>
              </w:rPr>
            </w:pPr>
            <w:r w:rsidRPr="004623AB">
              <w:rPr>
                <w:rFonts w:ascii="Times New Roman" w:hAnsi="Times New Roman" w:cs="Times New Roman"/>
                <w:sz w:val="16"/>
                <w:szCs w:val="20"/>
              </w:rPr>
              <w:t>$0,26/1000kg</w:t>
            </w:r>
          </w:p>
        </w:tc>
      </w:tr>
      <w:tr w:rsidR="00695094" w:rsidRPr="0067432D" w14:paraId="17C4D437" w14:textId="77777777" w:rsidTr="002D32B6">
        <w:trPr>
          <w:jc w:val="center"/>
        </w:trPr>
        <w:tc>
          <w:tcPr>
            <w:tcW w:w="2410" w:type="dxa"/>
            <w:tcBorders>
              <w:top w:val="single" w:sz="4" w:space="0" w:color="auto"/>
              <w:bottom w:val="single" w:sz="4" w:space="0" w:color="auto"/>
            </w:tcBorders>
            <w:vAlign w:val="center"/>
          </w:tcPr>
          <w:p w14:paraId="4C7411EE" w14:textId="77777777" w:rsidR="00695094" w:rsidRPr="004623AB" w:rsidRDefault="00695094" w:rsidP="00D60DED">
            <w:pPr>
              <w:jc w:val="center"/>
              <w:rPr>
                <w:rFonts w:ascii="Times New Roman" w:hAnsi="Times New Roman" w:cs="Times New Roman"/>
                <w:b/>
                <w:sz w:val="16"/>
                <w:szCs w:val="20"/>
              </w:rPr>
            </w:pPr>
            <w:r w:rsidRPr="004623AB">
              <w:rPr>
                <w:rFonts w:ascii="Times New Roman" w:hAnsi="Times New Roman" w:cs="Times New Roman"/>
                <w:b/>
                <w:sz w:val="16"/>
                <w:szCs w:val="20"/>
              </w:rPr>
              <w:t>Produ</w:t>
            </w:r>
            <w:r>
              <w:rPr>
                <w:rFonts w:ascii="Times New Roman" w:hAnsi="Times New Roman" w:cs="Times New Roman"/>
                <w:b/>
                <w:sz w:val="16"/>
                <w:szCs w:val="20"/>
              </w:rPr>
              <w:t>ct</w:t>
            </w:r>
          </w:p>
        </w:tc>
        <w:tc>
          <w:tcPr>
            <w:tcW w:w="4394" w:type="dxa"/>
            <w:tcBorders>
              <w:top w:val="single" w:sz="4" w:space="0" w:color="auto"/>
              <w:bottom w:val="single" w:sz="4" w:space="0" w:color="auto"/>
            </w:tcBorders>
            <w:vAlign w:val="center"/>
          </w:tcPr>
          <w:p w14:paraId="1BE0BD24" w14:textId="2E1F5416" w:rsidR="00695094" w:rsidRPr="0067432D" w:rsidRDefault="00695094" w:rsidP="00D60DED">
            <w:pPr>
              <w:jc w:val="center"/>
              <w:rPr>
                <w:rFonts w:ascii="Times New Roman" w:hAnsi="Times New Roman" w:cs="Times New Roman"/>
                <w:b/>
                <w:sz w:val="16"/>
                <w:szCs w:val="20"/>
                <w:lang w:val="en-US"/>
              </w:rPr>
            </w:pPr>
            <w:r w:rsidRPr="0067432D">
              <w:rPr>
                <w:rFonts w:ascii="Times New Roman" w:hAnsi="Times New Roman" w:cs="Times New Roman"/>
                <w:b/>
                <w:sz w:val="16"/>
                <w:szCs w:val="20"/>
                <w:lang w:val="en-US"/>
              </w:rPr>
              <w:t>Price</w:t>
            </w:r>
            <w:r w:rsidRPr="0067432D">
              <w:rPr>
                <w:rFonts w:ascii="Times New Roman" w:hAnsi="Times New Roman" w:cs="Times New Roman"/>
                <w:b/>
                <w:sz w:val="16"/>
                <w:szCs w:val="20"/>
                <w:vertAlign w:val="superscript"/>
                <w:lang w:val="en-US"/>
              </w:rPr>
              <w:t xml:space="preserve"> </w:t>
            </w:r>
            <w:r w:rsidRPr="0067432D">
              <w:rPr>
                <w:rFonts w:ascii="Times New Roman" w:hAnsi="Times New Roman" w:cs="Times New Roman"/>
                <w:b/>
                <w:sz w:val="16"/>
                <w:szCs w:val="20"/>
                <w:lang w:val="en-US"/>
              </w:rPr>
              <w:t>(Moreno-Sader et al., 2021)</w:t>
            </w:r>
          </w:p>
        </w:tc>
      </w:tr>
      <w:tr w:rsidR="00695094" w:rsidRPr="004623AB" w14:paraId="697FF603" w14:textId="77777777" w:rsidTr="002D32B6">
        <w:trPr>
          <w:jc w:val="center"/>
        </w:trPr>
        <w:tc>
          <w:tcPr>
            <w:tcW w:w="2410" w:type="dxa"/>
            <w:vAlign w:val="center"/>
          </w:tcPr>
          <w:p w14:paraId="750DF60D" w14:textId="77777777" w:rsidR="00695094" w:rsidRPr="004623AB" w:rsidRDefault="00695094" w:rsidP="00D60DED">
            <w:pPr>
              <w:jc w:val="center"/>
              <w:rPr>
                <w:rFonts w:ascii="Times New Roman" w:hAnsi="Times New Roman" w:cs="Times New Roman"/>
                <w:sz w:val="16"/>
                <w:szCs w:val="20"/>
              </w:rPr>
            </w:pPr>
            <w:r w:rsidRPr="0067432D">
              <w:rPr>
                <w:rFonts w:ascii="Times New Roman" w:hAnsi="Times New Roman" w:cs="Times New Roman"/>
                <w:sz w:val="16"/>
              </w:rPr>
              <w:t>Astaxanthin</w:t>
            </w:r>
          </w:p>
        </w:tc>
        <w:tc>
          <w:tcPr>
            <w:tcW w:w="4394" w:type="dxa"/>
            <w:vAlign w:val="center"/>
          </w:tcPr>
          <w:p w14:paraId="33A55A24" w14:textId="77777777" w:rsidR="00695094" w:rsidRPr="004623AB" w:rsidRDefault="00695094" w:rsidP="00D60DED">
            <w:pPr>
              <w:jc w:val="center"/>
              <w:rPr>
                <w:rFonts w:ascii="Times New Roman" w:hAnsi="Times New Roman" w:cs="Times New Roman"/>
                <w:sz w:val="16"/>
                <w:szCs w:val="20"/>
              </w:rPr>
            </w:pPr>
            <w:r w:rsidRPr="004623AB">
              <w:rPr>
                <w:rFonts w:ascii="Times New Roman" w:hAnsi="Times New Roman" w:cs="Times New Roman"/>
                <w:sz w:val="16"/>
                <w:szCs w:val="20"/>
              </w:rPr>
              <w:t>$</w:t>
            </w:r>
            <w:r>
              <w:rPr>
                <w:rFonts w:ascii="Times New Roman" w:hAnsi="Times New Roman" w:cs="Times New Roman"/>
                <w:sz w:val="16"/>
                <w:szCs w:val="20"/>
              </w:rPr>
              <w:t xml:space="preserve"> </w:t>
            </w:r>
            <w:r w:rsidRPr="004623AB">
              <w:rPr>
                <w:rFonts w:ascii="Times New Roman" w:hAnsi="Times New Roman" w:cs="Times New Roman"/>
                <w:sz w:val="16"/>
                <w:szCs w:val="20"/>
              </w:rPr>
              <w:t>40,00/kg</w:t>
            </w:r>
          </w:p>
        </w:tc>
      </w:tr>
      <w:tr w:rsidR="00695094" w:rsidRPr="004623AB" w14:paraId="4FDAD60D" w14:textId="77777777" w:rsidTr="002D32B6">
        <w:trPr>
          <w:jc w:val="center"/>
        </w:trPr>
        <w:tc>
          <w:tcPr>
            <w:tcW w:w="2410" w:type="dxa"/>
            <w:tcBorders>
              <w:bottom w:val="nil"/>
            </w:tcBorders>
            <w:vAlign w:val="center"/>
          </w:tcPr>
          <w:p w14:paraId="6D0DB03F" w14:textId="77777777" w:rsidR="00695094" w:rsidRPr="004623AB" w:rsidRDefault="00695094" w:rsidP="00D60DED">
            <w:pPr>
              <w:jc w:val="center"/>
              <w:rPr>
                <w:rFonts w:ascii="Times New Roman" w:hAnsi="Times New Roman" w:cs="Times New Roman"/>
                <w:sz w:val="16"/>
                <w:szCs w:val="20"/>
              </w:rPr>
            </w:pPr>
            <w:r>
              <w:rPr>
                <w:rFonts w:ascii="Times New Roman" w:hAnsi="Times New Roman" w:cs="Times New Roman"/>
                <w:sz w:val="16"/>
                <w:szCs w:val="20"/>
              </w:rPr>
              <w:t>Chitin</w:t>
            </w:r>
          </w:p>
        </w:tc>
        <w:tc>
          <w:tcPr>
            <w:tcW w:w="4394" w:type="dxa"/>
            <w:tcBorders>
              <w:bottom w:val="nil"/>
            </w:tcBorders>
            <w:vAlign w:val="center"/>
          </w:tcPr>
          <w:p w14:paraId="412F54F3" w14:textId="77777777" w:rsidR="00695094" w:rsidRPr="004623AB" w:rsidRDefault="00695094" w:rsidP="00D60DED">
            <w:pPr>
              <w:jc w:val="center"/>
              <w:rPr>
                <w:rFonts w:ascii="Times New Roman" w:hAnsi="Times New Roman" w:cs="Times New Roman"/>
                <w:sz w:val="16"/>
                <w:szCs w:val="20"/>
              </w:rPr>
            </w:pPr>
            <w:r w:rsidRPr="004623AB">
              <w:rPr>
                <w:rFonts w:ascii="Times New Roman" w:hAnsi="Times New Roman" w:cs="Times New Roman"/>
                <w:sz w:val="16"/>
                <w:szCs w:val="20"/>
              </w:rPr>
              <w:t>$</w:t>
            </w:r>
            <w:r>
              <w:rPr>
                <w:rFonts w:ascii="Times New Roman" w:hAnsi="Times New Roman" w:cs="Times New Roman"/>
                <w:sz w:val="16"/>
                <w:szCs w:val="20"/>
              </w:rPr>
              <w:t xml:space="preserve"> </w:t>
            </w:r>
            <w:r w:rsidRPr="004623AB">
              <w:rPr>
                <w:rFonts w:ascii="Times New Roman" w:hAnsi="Times New Roman" w:cs="Times New Roman"/>
                <w:sz w:val="16"/>
                <w:szCs w:val="20"/>
              </w:rPr>
              <w:t>17,00/kg</w:t>
            </w:r>
          </w:p>
        </w:tc>
      </w:tr>
      <w:tr w:rsidR="00695094" w:rsidRPr="004623AB" w14:paraId="0FF6D9E7" w14:textId="77777777" w:rsidTr="002D32B6">
        <w:trPr>
          <w:jc w:val="center"/>
        </w:trPr>
        <w:tc>
          <w:tcPr>
            <w:tcW w:w="2410" w:type="dxa"/>
            <w:tcBorders>
              <w:top w:val="nil"/>
              <w:bottom w:val="single" w:sz="4" w:space="0" w:color="auto"/>
            </w:tcBorders>
            <w:vAlign w:val="center"/>
          </w:tcPr>
          <w:p w14:paraId="1952A085" w14:textId="77777777" w:rsidR="00695094" w:rsidRPr="004623AB" w:rsidRDefault="00695094" w:rsidP="00D60DED">
            <w:pPr>
              <w:jc w:val="center"/>
              <w:rPr>
                <w:rFonts w:ascii="Times New Roman" w:hAnsi="Times New Roman" w:cs="Times New Roman"/>
                <w:sz w:val="16"/>
                <w:szCs w:val="20"/>
              </w:rPr>
            </w:pPr>
            <w:r>
              <w:rPr>
                <w:rFonts w:ascii="Times New Roman" w:hAnsi="Times New Roman" w:cs="Times New Roman"/>
                <w:sz w:val="16"/>
                <w:szCs w:val="20"/>
              </w:rPr>
              <w:t>Chitosan</w:t>
            </w:r>
          </w:p>
        </w:tc>
        <w:tc>
          <w:tcPr>
            <w:tcW w:w="4394" w:type="dxa"/>
            <w:tcBorders>
              <w:top w:val="nil"/>
              <w:bottom w:val="single" w:sz="4" w:space="0" w:color="auto"/>
            </w:tcBorders>
            <w:vAlign w:val="center"/>
          </w:tcPr>
          <w:p w14:paraId="11E4C218" w14:textId="77777777" w:rsidR="00695094" w:rsidRPr="004623AB" w:rsidRDefault="00695094" w:rsidP="00D60DED">
            <w:pPr>
              <w:jc w:val="center"/>
              <w:rPr>
                <w:rFonts w:ascii="Times New Roman" w:hAnsi="Times New Roman" w:cs="Times New Roman"/>
                <w:sz w:val="16"/>
                <w:szCs w:val="20"/>
              </w:rPr>
            </w:pPr>
            <w:r w:rsidRPr="004623AB">
              <w:rPr>
                <w:rFonts w:ascii="Times New Roman" w:hAnsi="Times New Roman" w:cs="Times New Roman"/>
                <w:sz w:val="16"/>
                <w:szCs w:val="20"/>
              </w:rPr>
              <w:t>$</w:t>
            </w:r>
            <w:r>
              <w:rPr>
                <w:rFonts w:ascii="Times New Roman" w:hAnsi="Times New Roman" w:cs="Times New Roman"/>
                <w:sz w:val="16"/>
                <w:szCs w:val="20"/>
              </w:rPr>
              <w:t xml:space="preserve"> </w:t>
            </w:r>
            <w:r w:rsidRPr="004623AB">
              <w:rPr>
                <w:rFonts w:ascii="Times New Roman" w:hAnsi="Times New Roman" w:cs="Times New Roman"/>
                <w:sz w:val="16"/>
                <w:szCs w:val="20"/>
              </w:rPr>
              <w:t>35,00/kg</w:t>
            </w:r>
          </w:p>
        </w:tc>
      </w:tr>
      <w:tr w:rsidR="00695094" w:rsidRPr="0067432D" w14:paraId="07728FE8" w14:textId="77777777" w:rsidTr="002D32B6">
        <w:trPr>
          <w:jc w:val="center"/>
        </w:trPr>
        <w:tc>
          <w:tcPr>
            <w:tcW w:w="2410" w:type="dxa"/>
            <w:tcBorders>
              <w:top w:val="single" w:sz="4" w:space="0" w:color="auto"/>
              <w:bottom w:val="single" w:sz="4" w:space="0" w:color="auto"/>
            </w:tcBorders>
            <w:vAlign w:val="center"/>
          </w:tcPr>
          <w:p w14:paraId="0C123BD4" w14:textId="77777777" w:rsidR="00695094" w:rsidRPr="004623AB" w:rsidRDefault="00695094" w:rsidP="00D60DED">
            <w:pPr>
              <w:jc w:val="center"/>
              <w:rPr>
                <w:rFonts w:ascii="Times New Roman" w:hAnsi="Times New Roman" w:cs="Times New Roman"/>
                <w:b/>
                <w:sz w:val="16"/>
                <w:szCs w:val="20"/>
              </w:rPr>
            </w:pPr>
            <w:r>
              <w:rPr>
                <w:rFonts w:ascii="Times New Roman" w:hAnsi="Times New Roman" w:cs="Times New Roman"/>
                <w:b/>
                <w:sz w:val="16"/>
                <w:szCs w:val="20"/>
              </w:rPr>
              <w:t>Effluents</w:t>
            </w:r>
          </w:p>
        </w:tc>
        <w:tc>
          <w:tcPr>
            <w:tcW w:w="4394" w:type="dxa"/>
            <w:tcBorders>
              <w:top w:val="single" w:sz="4" w:space="0" w:color="auto"/>
              <w:bottom w:val="single" w:sz="4" w:space="0" w:color="auto"/>
            </w:tcBorders>
            <w:vAlign w:val="center"/>
          </w:tcPr>
          <w:p w14:paraId="328DDD61" w14:textId="77777777" w:rsidR="00695094" w:rsidRPr="004623AB" w:rsidRDefault="00695094" w:rsidP="00D60DED">
            <w:pPr>
              <w:jc w:val="center"/>
              <w:rPr>
                <w:rFonts w:ascii="Times New Roman" w:hAnsi="Times New Roman" w:cs="Times New Roman"/>
                <w:b/>
                <w:sz w:val="16"/>
                <w:szCs w:val="20"/>
              </w:rPr>
            </w:pPr>
            <w:r>
              <w:rPr>
                <w:rFonts w:ascii="Times New Roman" w:hAnsi="Times New Roman" w:cs="Times New Roman"/>
                <w:b/>
                <w:sz w:val="16"/>
                <w:szCs w:val="20"/>
              </w:rPr>
              <w:t>Cost</w:t>
            </w:r>
            <w:r w:rsidRPr="004623AB">
              <w:rPr>
                <w:rFonts w:ascii="Times New Roman" w:hAnsi="Times New Roman" w:cs="Times New Roman"/>
                <w:b/>
                <w:sz w:val="16"/>
                <w:szCs w:val="20"/>
              </w:rPr>
              <w:t>s</w:t>
            </w:r>
            <w:r w:rsidRPr="004623AB">
              <w:rPr>
                <w:rFonts w:ascii="Times New Roman" w:hAnsi="Times New Roman" w:cs="Times New Roman"/>
                <w:b/>
                <w:sz w:val="16"/>
                <w:szCs w:val="20"/>
                <w:vertAlign w:val="superscript"/>
              </w:rPr>
              <w:t xml:space="preserve"> </w:t>
            </w:r>
            <w:r w:rsidRPr="004623AB">
              <w:rPr>
                <w:rFonts w:ascii="Times New Roman" w:hAnsi="Times New Roman" w:cs="Times New Roman"/>
                <w:b/>
                <w:sz w:val="16"/>
                <w:szCs w:val="20"/>
              </w:rPr>
              <w:t>(Turton et al., 2018)</w:t>
            </w:r>
          </w:p>
        </w:tc>
      </w:tr>
      <w:tr w:rsidR="00695094" w:rsidRPr="0067432D" w14:paraId="2C49AEC6" w14:textId="77777777" w:rsidTr="002D32B6">
        <w:trPr>
          <w:jc w:val="center"/>
        </w:trPr>
        <w:tc>
          <w:tcPr>
            <w:tcW w:w="2410" w:type="dxa"/>
            <w:vAlign w:val="center"/>
          </w:tcPr>
          <w:p w14:paraId="51077D90" w14:textId="77777777" w:rsidR="00695094" w:rsidRPr="004623AB" w:rsidRDefault="00695094" w:rsidP="00D60DED">
            <w:pPr>
              <w:jc w:val="center"/>
              <w:rPr>
                <w:rFonts w:ascii="Times New Roman" w:hAnsi="Times New Roman" w:cs="Times New Roman"/>
                <w:sz w:val="16"/>
                <w:szCs w:val="20"/>
              </w:rPr>
            </w:pPr>
            <w:r w:rsidRPr="0067432D">
              <w:rPr>
                <w:rFonts w:ascii="Times New Roman" w:hAnsi="Times New Roman" w:cs="Times New Roman"/>
                <w:sz w:val="16"/>
                <w:szCs w:val="20"/>
              </w:rPr>
              <w:t>Wastewater treatment</w:t>
            </w:r>
          </w:p>
        </w:tc>
        <w:tc>
          <w:tcPr>
            <w:tcW w:w="4394" w:type="dxa"/>
            <w:vAlign w:val="center"/>
          </w:tcPr>
          <w:p w14:paraId="0872844A" w14:textId="185E004C" w:rsidR="00695094" w:rsidRPr="0067432D" w:rsidRDefault="00695094" w:rsidP="00712BB2">
            <w:pPr>
              <w:pBdr>
                <w:top w:val="nil"/>
                <w:left w:val="nil"/>
                <w:bottom w:val="nil"/>
                <w:right w:val="nil"/>
                <w:between w:val="nil"/>
              </w:pBdr>
              <w:suppressAutoHyphens/>
              <w:rPr>
                <w:rFonts w:ascii="Times New Roman" w:hAnsi="Times New Roman" w:cs="Times New Roman"/>
                <w:sz w:val="16"/>
                <w:szCs w:val="20"/>
                <w:lang w:val="en-US"/>
              </w:rPr>
            </w:pPr>
            <w:r w:rsidRPr="0067432D">
              <w:rPr>
                <w:rFonts w:ascii="Times New Roman" w:hAnsi="Times New Roman" w:cs="Times New Roman"/>
                <w:sz w:val="16"/>
                <w:szCs w:val="20"/>
                <w:lang w:val="en-US"/>
              </w:rPr>
              <w:t xml:space="preserve"> (filtration+activated sludge+chemical processing): $ 56/1000 m</w:t>
            </w:r>
            <w:r w:rsidRPr="0067432D">
              <w:rPr>
                <w:rFonts w:ascii="Times New Roman" w:hAnsi="Times New Roman" w:cs="Times New Roman"/>
                <w:sz w:val="16"/>
                <w:szCs w:val="20"/>
                <w:vertAlign w:val="superscript"/>
                <w:lang w:val="en-US"/>
              </w:rPr>
              <w:t>3</w:t>
            </w:r>
          </w:p>
        </w:tc>
      </w:tr>
    </w:tbl>
    <w:p w14:paraId="144DE6A1" w14:textId="153DC95C" w:rsidR="008D2649" w:rsidRPr="00A936A6" w:rsidRDefault="00280338" w:rsidP="003A39BA">
      <w:pPr>
        <w:pStyle w:val="Els-1storder-head"/>
        <w:spacing w:before="120" w:line="240" w:lineRule="auto"/>
      </w:pPr>
      <w:r w:rsidRPr="00A936A6">
        <w:lastRenderedPageBreak/>
        <w:t>Results and Discussion</w:t>
      </w:r>
    </w:p>
    <w:p w14:paraId="2D5BE6EE" w14:textId="7175875C" w:rsidR="00C32604" w:rsidRDefault="00A11A89" w:rsidP="00863167">
      <w:pPr>
        <w:pStyle w:val="Els-body-text"/>
        <w:spacing w:after="60"/>
      </w:pPr>
      <w:r w:rsidRPr="004B4486">
        <w:t xml:space="preserve">The conceptual </w:t>
      </w:r>
      <w:r>
        <w:t xml:space="preserve">design </w:t>
      </w:r>
      <w:r w:rsidRPr="004B4486">
        <w:t xml:space="preserve">for the shrimp farming waste biorefinery </w:t>
      </w:r>
      <w:proofErr w:type="gramStart"/>
      <w:r>
        <w:t xml:space="preserve">is </w:t>
      </w:r>
      <w:r w:rsidRPr="004B4486">
        <w:t>based</w:t>
      </w:r>
      <w:proofErr w:type="gramEnd"/>
      <w:r w:rsidRPr="004B4486">
        <w:t xml:space="preserve"> on material recycling and reuse flows. </w:t>
      </w:r>
      <w:r w:rsidR="00D66A1A" w:rsidRPr="00D66A1A">
        <w:t>The limited data available on industrial-scale crustacean biorefinery justifies the use of the stoichiom</w:t>
      </w:r>
      <w:r w:rsidR="003370CD">
        <w:t xml:space="preserve">etric segmentation technique </w:t>
      </w:r>
      <w:proofErr w:type="gramStart"/>
      <w:r w:rsidR="00FA2AC2">
        <w:t xml:space="preserve">to </w:t>
      </w:r>
      <w:r w:rsidR="00D66A1A" w:rsidRPr="00D66A1A">
        <w:t>comprehensively evaluate</w:t>
      </w:r>
      <w:proofErr w:type="gramEnd"/>
      <w:r w:rsidR="00D66A1A" w:rsidRPr="00D66A1A">
        <w:t xml:space="preserve"> the chosen rout</w:t>
      </w:r>
      <w:r w:rsidR="00FA2AC2">
        <w:t xml:space="preserve">es. Based on the </w:t>
      </w:r>
      <w:r w:rsidR="00D66A1A" w:rsidRPr="00D66A1A">
        <w:t>reactions involved in each stage of the proces</w:t>
      </w:r>
      <w:r w:rsidR="00FA2AC2">
        <w:t>s, the input and output flow rates</w:t>
      </w:r>
      <w:r w:rsidR="00D66A1A" w:rsidRPr="00D66A1A">
        <w:t xml:space="preserve"> per component </w:t>
      </w:r>
      <w:proofErr w:type="gramStart"/>
      <w:r w:rsidR="00D66A1A" w:rsidRPr="00D66A1A">
        <w:t>were identified</w:t>
      </w:r>
      <w:proofErr w:type="gramEnd"/>
      <w:r w:rsidR="00D66A1A" w:rsidRPr="00D66A1A">
        <w:t>, as well as the points where fresh water is used and where effluents are discarded.</w:t>
      </w:r>
      <w:r w:rsidR="00D66A1A">
        <w:t xml:space="preserve"> </w:t>
      </w:r>
      <w:r w:rsidR="00C32604" w:rsidRPr="002947FB">
        <w:t xml:space="preserve">The flowsheet diagram of the shrimp shell biorefinery </w:t>
      </w:r>
      <w:proofErr w:type="gramStart"/>
      <w:r w:rsidR="00C32604" w:rsidRPr="002947FB">
        <w:t>is shown</w:t>
      </w:r>
      <w:proofErr w:type="gramEnd"/>
      <w:r w:rsidR="00C32604" w:rsidRPr="002947FB">
        <w:t xml:space="preserve"> in Figure 1</w:t>
      </w:r>
      <w:r w:rsidR="00C32604">
        <w:t>.</w:t>
      </w:r>
    </w:p>
    <w:p w14:paraId="3F0EDE33" w14:textId="6E6CE281" w:rsidR="00A11A89" w:rsidRDefault="00BF4BC2" w:rsidP="00573AF5">
      <w:pPr>
        <w:pStyle w:val="Els-body-text"/>
        <w:spacing w:after="60"/>
        <w:jc w:val="center"/>
      </w:pPr>
      <w:r>
        <w:rPr>
          <w:noProof/>
          <w:lang w:val="pt-BR" w:eastAsia="pt-BR"/>
        </w:rPr>
        <w:drawing>
          <wp:inline distT="0" distB="0" distL="0" distR="0" wp14:anchorId="12AEAA0C" wp14:editId="4B085DD1">
            <wp:extent cx="4822372" cy="6204857"/>
            <wp:effectExtent l="0" t="0" r="0" b="5715"/>
            <wp:docPr id="226" name="Imagem 2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1650" cy="6229661"/>
                    </a:xfrm>
                    <a:prstGeom prst="rect">
                      <a:avLst/>
                    </a:prstGeom>
                    <a:noFill/>
                  </pic:spPr>
                </pic:pic>
              </a:graphicData>
            </a:graphic>
          </wp:inline>
        </w:drawing>
      </w:r>
    </w:p>
    <w:p w14:paraId="2EA10DC8" w14:textId="77777777" w:rsidR="001E424F" w:rsidRDefault="00C32604" w:rsidP="001E424F">
      <w:pPr>
        <w:pStyle w:val="Els-body-text"/>
        <w:spacing w:line="192" w:lineRule="auto"/>
      </w:pPr>
      <w:r w:rsidRPr="003A39BA">
        <w:t>Figure 1. Process flowsheet of a biorefinery for valorizing shrimp farming waste.</w:t>
      </w:r>
    </w:p>
    <w:p w14:paraId="523F1153" w14:textId="7605C241" w:rsidR="00DF11BD" w:rsidRDefault="00285CC4" w:rsidP="00863167">
      <w:pPr>
        <w:pStyle w:val="Els-body-text"/>
      </w:pPr>
      <w:r w:rsidRPr="00285CC4">
        <w:t xml:space="preserve">In the waste processing stage, peel flour is produced, which has a high nutritional value and can be used as a protein source in animal diets, in addition to containing astaxanthin </w:t>
      </w:r>
      <w:r w:rsidRPr="00343438">
        <w:t xml:space="preserve">and chitin, considered the components with the highest </w:t>
      </w:r>
      <w:proofErr w:type="gramStart"/>
      <w:r w:rsidRPr="00343438">
        <w:t>added value</w:t>
      </w:r>
      <w:proofErr w:type="gramEnd"/>
      <w:r w:rsidRPr="00343438">
        <w:t xml:space="preserve">. </w:t>
      </w:r>
      <w:r w:rsidR="00DF11BD" w:rsidRPr="00343438">
        <w:t>This approach</w:t>
      </w:r>
      <w:r w:rsidR="00DF11BD" w:rsidRPr="00DF11BD">
        <w:t xml:space="preserve"> considered the recycling strategy in the depigmentation and deacetylation stages to minimize production costs. The ethanol used to extract the pigment </w:t>
      </w:r>
      <w:proofErr w:type="gramStart"/>
      <w:r w:rsidR="00DF11BD" w:rsidRPr="00DF11BD">
        <w:t>is evaporated</w:t>
      </w:r>
      <w:proofErr w:type="gramEnd"/>
      <w:r w:rsidR="00DF11BD" w:rsidRPr="00DF11BD">
        <w:t xml:space="preserve"> and the vapor must be condensed and purged by 5</w:t>
      </w:r>
      <w:r w:rsidR="00591268">
        <w:t xml:space="preserve"> </w:t>
      </w:r>
      <w:r w:rsidR="00DF11BD" w:rsidRPr="00DF11BD">
        <w:t xml:space="preserve">% by mass. The NaOH solution used for chitin deacetylation </w:t>
      </w:r>
      <w:proofErr w:type="gramStart"/>
      <w:r w:rsidR="00DF11BD" w:rsidRPr="00DF11BD">
        <w:t xml:space="preserve">must be recycled and purged </w:t>
      </w:r>
      <w:r w:rsidR="005C1DE8">
        <w:t xml:space="preserve">by </w:t>
      </w:r>
      <w:r w:rsidR="00DF11BD" w:rsidRPr="00DF11BD">
        <w:t>10%</w:t>
      </w:r>
      <w:proofErr w:type="gramEnd"/>
      <w:r w:rsidR="00DF11BD" w:rsidRPr="00DF11BD">
        <w:t xml:space="preserve">. Adjusting the concentration of recycled solutions </w:t>
      </w:r>
      <w:proofErr w:type="gramStart"/>
      <w:r w:rsidR="00DF11BD" w:rsidRPr="00DF11BD">
        <w:t>is done</w:t>
      </w:r>
      <w:proofErr w:type="gramEnd"/>
      <w:r w:rsidR="00DF11BD" w:rsidRPr="00DF11BD">
        <w:t xml:space="preserve"> by adding fresh reagents according to the purge (Gómez-Ríos et al., 2017). Given the acidic and basic nature of the effluents generated in the process, the </w:t>
      </w:r>
      <w:r w:rsidR="005C1DE8">
        <w:t>streams</w:t>
      </w:r>
      <w:r w:rsidR="005C1DE8" w:rsidRPr="00DF11BD">
        <w:t xml:space="preserve"> </w:t>
      </w:r>
      <w:r w:rsidR="00DF11BD" w:rsidRPr="00DF11BD">
        <w:t>from</w:t>
      </w:r>
      <w:r w:rsidR="00FA2AC2">
        <w:t xml:space="preserve"> washing stages 3, 4, and 5, </w:t>
      </w:r>
      <w:r w:rsidR="00DF11BD" w:rsidRPr="00DF11BD">
        <w:t>the effluent generated in the demineralization stage</w:t>
      </w:r>
      <w:r w:rsidR="00FA2AC2">
        <w:t>,</w:t>
      </w:r>
      <w:r w:rsidR="00DF11BD" w:rsidRPr="00DF11BD">
        <w:t xml:space="preserve"> </w:t>
      </w:r>
      <w:r w:rsidR="00FA2AC2" w:rsidRPr="00FA2AC2">
        <w:t>and the purge of the deacetylation stage</w:t>
      </w:r>
      <w:r w:rsidR="00FA2AC2">
        <w:t xml:space="preserve"> </w:t>
      </w:r>
      <w:r w:rsidR="00DF11BD" w:rsidRPr="00DF11BD">
        <w:t>are neutralized in a mixing tank to reuse this water for irrigation or shrimp farming in artificial waters</w:t>
      </w:r>
      <w:r w:rsidR="00BD3866">
        <w:t xml:space="preserve"> (Moura et al., 2023)</w:t>
      </w:r>
      <w:r w:rsidR="00DF11BD" w:rsidRPr="00DF11BD">
        <w:t>.</w:t>
      </w:r>
      <w:r w:rsidR="00FA2AC2">
        <w:t xml:space="preserve"> </w:t>
      </w:r>
      <w:r w:rsidR="00FA2AC2" w:rsidRPr="00FA2AC2">
        <w:t xml:space="preserve">In the case of integrating wastewater without prior treatment, the output streams from drying stages 1, 2 and 3 would be able to meet the demand </w:t>
      </w:r>
      <w:r w:rsidR="00863167">
        <w:t>for ice in the shrimp fishing</w:t>
      </w:r>
      <w:r w:rsidR="00FA2AC2" w:rsidRPr="00FA2AC2">
        <w:t xml:space="preserve"> process, generating savings of $</w:t>
      </w:r>
      <w:r w:rsidR="00FA2AC2">
        <w:t xml:space="preserve"> </w:t>
      </w:r>
      <w:r w:rsidR="00FA2AC2" w:rsidRPr="00FA2AC2">
        <w:t>0.03/cycle, representing a value insignificant.</w:t>
      </w:r>
    </w:p>
    <w:p w14:paraId="03883B69" w14:textId="7E6BB871" w:rsidR="00285CC4" w:rsidRPr="00FA2AC2" w:rsidRDefault="00FA2AC2" w:rsidP="008D2649">
      <w:pPr>
        <w:pStyle w:val="Els-body-text"/>
      </w:pPr>
      <w:r w:rsidRPr="00FA2AC2">
        <w:t xml:space="preserve">By changing the order of steps and reaction parameters in the pretreatment and conversion of shrimp biomass, chitin and chitosan with variable physicochemical properties </w:t>
      </w:r>
      <w:proofErr w:type="gramStart"/>
      <w:r w:rsidRPr="00FA2AC2">
        <w:t>can be produced</w:t>
      </w:r>
      <w:proofErr w:type="gramEnd"/>
      <w:r w:rsidRPr="00FA2AC2">
        <w:t xml:space="preserve">. It is advisable </w:t>
      </w:r>
      <w:proofErr w:type="gramStart"/>
      <w:r w:rsidRPr="00FA2AC2">
        <w:t>to first extract</w:t>
      </w:r>
      <w:proofErr w:type="gramEnd"/>
      <w:r w:rsidRPr="00FA2AC2">
        <w:t xml:space="preserve"> the pigments to guarantee the integrity of the product. This case study considered the hypothesis that demineralization occurs before </w:t>
      </w:r>
      <w:r w:rsidR="00863167">
        <w:t>d</w:t>
      </w:r>
      <w:r w:rsidR="00863167" w:rsidRPr="00FA2AC2">
        <w:t>eproteinization</w:t>
      </w:r>
      <w:r w:rsidRPr="00FA2AC2">
        <w:t>. This sequence of operations does not require the biomass depigmentation step, as the chitin obtained has a lighter tone when compared to the reverse sequence</w:t>
      </w:r>
      <w:r w:rsidR="00C92D62" w:rsidRPr="00C92D62">
        <w:rPr>
          <w:rFonts w:eastAsia="Calibri"/>
        </w:rPr>
        <w:t xml:space="preserve">. In this sense, a preliminary economic analysis </w:t>
      </w:r>
      <w:proofErr w:type="gramStart"/>
      <w:r w:rsidR="00C92D62" w:rsidRPr="00C92D62">
        <w:rPr>
          <w:rFonts w:eastAsia="Calibri"/>
        </w:rPr>
        <w:t>was carried out</w:t>
      </w:r>
      <w:proofErr w:type="gramEnd"/>
      <w:r w:rsidR="00C92D62" w:rsidRPr="00C92D62">
        <w:rPr>
          <w:rFonts w:eastAsia="Calibri"/>
        </w:rPr>
        <w:t xml:space="preserve"> to assess whether it would be worthwhile to include the pigment recovery stage. According to the prices of raw materials, products, and wastewater tre</w:t>
      </w:r>
      <w:r w:rsidR="00A11A89">
        <w:rPr>
          <w:rFonts w:eastAsia="Calibri"/>
        </w:rPr>
        <w:t>atment costs provided by Table 2</w:t>
      </w:r>
      <w:r w:rsidR="00C92D62" w:rsidRPr="00C92D62">
        <w:rPr>
          <w:rFonts w:eastAsia="Calibri"/>
        </w:rPr>
        <w:t xml:space="preserve">, the values for EGP and MIRS </w:t>
      </w:r>
      <w:proofErr w:type="gramStart"/>
      <w:r w:rsidR="00C92D62" w:rsidRPr="00C92D62">
        <w:rPr>
          <w:rFonts w:eastAsia="Calibri"/>
        </w:rPr>
        <w:t>were estimated</w:t>
      </w:r>
      <w:proofErr w:type="gramEnd"/>
      <w:r w:rsidR="00C92D62" w:rsidRPr="00C92D62">
        <w:rPr>
          <w:rFonts w:eastAsia="Calibri"/>
        </w:rPr>
        <w:t xml:space="preserve"> for fou</w:t>
      </w:r>
      <w:r w:rsidR="00A11A89">
        <w:rPr>
          <w:rFonts w:eastAsia="Calibri"/>
        </w:rPr>
        <w:t>r scenarios, as shown in Table 3</w:t>
      </w:r>
      <w:r w:rsidR="00C92D62" w:rsidRPr="00C92D62">
        <w:rPr>
          <w:rFonts w:eastAsia="Calibri"/>
        </w:rPr>
        <w:t>.</w:t>
      </w:r>
    </w:p>
    <w:p w14:paraId="678766FD" w14:textId="77777777" w:rsidR="00C92D62" w:rsidRDefault="00C92D62" w:rsidP="008D2649">
      <w:pPr>
        <w:pStyle w:val="Els-body-text"/>
      </w:pPr>
    </w:p>
    <w:p w14:paraId="11D9DF56" w14:textId="4CF56EF1" w:rsidR="00CB0C24" w:rsidRPr="00285CC4" w:rsidRDefault="00A11A89" w:rsidP="00285CC4">
      <w:pPr>
        <w:pStyle w:val="Els-body-text"/>
        <w:spacing w:after="60"/>
      </w:pPr>
      <w:r>
        <w:t>Table 3</w:t>
      </w:r>
      <w:r w:rsidR="00285CC4" w:rsidRPr="00285CC4">
        <w:t>. EGP and MIRS indicators before and after water mass integration.</w:t>
      </w:r>
      <w:r w:rsidR="00CB0C24" w:rsidRPr="00A936A6">
        <w:rPr>
          <w:lang w:val="pt-BR"/>
        </w:rPr>
        <w:fldChar w:fldCharType="begin"/>
      </w:r>
      <w:r w:rsidR="00CB0C24" w:rsidRPr="00285CC4">
        <w:instrText xml:space="preserve"> LINK </w:instrText>
      </w:r>
      <w:r w:rsidR="003D36A3">
        <w:instrText xml:space="preserve">Excel.Sheet.12 "C:\\Users\\USER\\Desktop\\Doutorado Poli\\BM chitinous biorefinery new integration (Recuperado).xlsx" Página1!L14C45:L18C49 </w:instrText>
      </w:r>
      <w:r w:rsidR="00CB0C24" w:rsidRPr="00285CC4">
        <w:instrText xml:space="preserve">\a \f 4 \h  \* MERGEFORMAT </w:instrText>
      </w:r>
      <w:r w:rsidR="00CB0C24" w:rsidRPr="00A936A6">
        <w:rPr>
          <w:lang w:val="pt-BR"/>
        </w:rPr>
        <w:fldChar w:fldCharType="separate"/>
      </w:r>
    </w:p>
    <w:tbl>
      <w:tblPr>
        <w:tblW w:w="6819" w:type="dxa"/>
        <w:jc w:val="center"/>
        <w:tblCellMar>
          <w:left w:w="70" w:type="dxa"/>
          <w:right w:w="70" w:type="dxa"/>
        </w:tblCellMar>
        <w:tblLook w:val="04A0" w:firstRow="1" w:lastRow="0" w:firstColumn="1" w:lastColumn="0" w:noHBand="0" w:noVBand="1"/>
      </w:tblPr>
      <w:tblGrid>
        <w:gridCol w:w="2835"/>
        <w:gridCol w:w="1418"/>
        <w:gridCol w:w="1276"/>
        <w:gridCol w:w="709"/>
        <w:gridCol w:w="581"/>
      </w:tblGrid>
      <w:tr w:rsidR="00CB0C24" w:rsidRPr="00CB0C24" w14:paraId="16EEC32F" w14:textId="77777777" w:rsidTr="007E324F">
        <w:trPr>
          <w:trHeight w:val="315"/>
          <w:jc w:val="center"/>
        </w:trPr>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2BD76B75" w14:textId="77777777" w:rsidR="00CB0C24" w:rsidRPr="00CB0C24" w:rsidRDefault="00CB0C24" w:rsidP="00CB0C24">
            <w:pPr>
              <w:jc w:val="center"/>
              <w:rPr>
                <w:color w:val="000000"/>
                <w:sz w:val="18"/>
                <w:lang w:val="pt-BR" w:eastAsia="pt-BR"/>
              </w:rPr>
            </w:pPr>
            <w:r w:rsidRPr="00CB0C24">
              <w:rPr>
                <w:color w:val="000000"/>
                <w:sz w:val="18"/>
                <w:lang w:val="pt-BR" w:eastAsia="pt-BR"/>
              </w:rPr>
              <w:t>SCENARIO</w:t>
            </w:r>
          </w:p>
        </w:tc>
        <w:tc>
          <w:tcPr>
            <w:tcW w:w="1418" w:type="dxa"/>
            <w:tcBorders>
              <w:top w:val="single" w:sz="4" w:space="0" w:color="auto"/>
              <w:left w:val="nil"/>
              <w:bottom w:val="single" w:sz="4" w:space="0" w:color="auto"/>
              <w:right w:val="nil"/>
            </w:tcBorders>
            <w:shd w:val="clear" w:color="auto" w:fill="auto"/>
            <w:noWrap/>
            <w:vAlign w:val="center"/>
            <w:hideMark/>
          </w:tcPr>
          <w:p w14:paraId="0242228D" w14:textId="77777777" w:rsidR="00CB0C24" w:rsidRPr="00CB0C24" w:rsidRDefault="00CB0C24" w:rsidP="00CB0C24">
            <w:pPr>
              <w:jc w:val="center"/>
              <w:rPr>
                <w:color w:val="000000"/>
                <w:sz w:val="18"/>
                <w:lang w:val="pt-BR" w:eastAsia="pt-BR"/>
              </w:rPr>
            </w:pPr>
            <w:r w:rsidRPr="00CB0C24">
              <w:rPr>
                <w:color w:val="000000"/>
                <w:sz w:val="18"/>
                <w:lang w:val="pt-BR" w:eastAsia="pt-BR"/>
              </w:rPr>
              <w:t>REVENUE ($/cycle)</w:t>
            </w:r>
          </w:p>
        </w:tc>
        <w:tc>
          <w:tcPr>
            <w:tcW w:w="1276" w:type="dxa"/>
            <w:tcBorders>
              <w:top w:val="single" w:sz="4" w:space="0" w:color="auto"/>
              <w:left w:val="nil"/>
              <w:bottom w:val="single" w:sz="4" w:space="0" w:color="auto"/>
              <w:right w:val="nil"/>
            </w:tcBorders>
            <w:shd w:val="clear" w:color="auto" w:fill="auto"/>
            <w:noWrap/>
            <w:vAlign w:val="center"/>
            <w:hideMark/>
          </w:tcPr>
          <w:p w14:paraId="3E3433CB" w14:textId="77777777" w:rsidR="00CB0C24" w:rsidRPr="00CB0C24" w:rsidRDefault="00CB0C24" w:rsidP="00CB0C24">
            <w:pPr>
              <w:jc w:val="center"/>
              <w:rPr>
                <w:color w:val="000000"/>
                <w:sz w:val="18"/>
                <w:lang w:val="pt-BR" w:eastAsia="pt-BR"/>
              </w:rPr>
            </w:pPr>
            <w:r w:rsidRPr="00CB0C24">
              <w:rPr>
                <w:color w:val="000000"/>
                <w:sz w:val="18"/>
                <w:lang w:val="pt-BR" w:eastAsia="pt-BR"/>
              </w:rPr>
              <w:t>COSTS ($/cycle)</w:t>
            </w:r>
          </w:p>
        </w:tc>
        <w:tc>
          <w:tcPr>
            <w:tcW w:w="709" w:type="dxa"/>
            <w:tcBorders>
              <w:top w:val="single" w:sz="4" w:space="0" w:color="auto"/>
              <w:left w:val="nil"/>
              <w:bottom w:val="single" w:sz="4" w:space="0" w:color="auto"/>
              <w:right w:val="nil"/>
            </w:tcBorders>
            <w:shd w:val="clear" w:color="auto" w:fill="auto"/>
            <w:noWrap/>
            <w:vAlign w:val="center"/>
            <w:hideMark/>
          </w:tcPr>
          <w:p w14:paraId="73B3D1E8" w14:textId="27E70EE2" w:rsidR="00CB0C24" w:rsidRPr="00CB0C24" w:rsidRDefault="00CB0C24" w:rsidP="00CB0C24">
            <w:pPr>
              <w:jc w:val="center"/>
              <w:rPr>
                <w:color w:val="000000"/>
                <w:sz w:val="18"/>
                <w:lang w:val="pt-BR" w:eastAsia="pt-BR"/>
              </w:rPr>
            </w:pPr>
            <w:r w:rsidRPr="00CB0C24">
              <w:rPr>
                <w:color w:val="000000"/>
                <w:sz w:val="18"/>
                <w:lang w:val="pt-BR" w:eastAsia="pt-BR"/>
              </w:rPr>
              <w:t>EGP</w:t>
            </w:r>
            <w:r w:rsidR="005C1DE8">
              <w:rPr>
                <w:color w:val="000000"/>
                <w:sz w:val="18"/>
                <w:lang w:val="pt-BR" w:eastAsia="pt-BR"/>
              </w:rPr>
              <w:t xml:space="preserve"> ($)</w:t>
            </w:r>
          </w:p>
        </w:tc>
        <w:tc>
          <w:tcPr>
            <w:tcW w:w="581" w:type="dxa"/>
            <w:tcBorders>
              <w:top w:val="single" w:sz="4" w:space="0" w:color="auto"/>
              <w:left w:val="nil"/>
              <w:bottom w:val="single" w:sz="4" w:space="0" w:color="auto"/>
              <w:right w:val="nil"/>
            </w:tcBorders>
            <w:shd w:val="clear" w:color="auto" w:fill="auto"/>
            <w:noWrap/>
            <w:vAlign w:val="center"/>
            <w:hideMark/>
          </w:tcPr>
          <w:p w14:paraId="548895FC" w14:textId="0AF57029" w:rsidR="00CB0C24" w:rsidRPr="00CB0C24" w:rsidRDefault="00CB0C24" w:rsidP="00CB0C24">
            <w:pPr>
              <w:jc w:val="center"/>
              <w:rPr>
                <w:color w:val="000000"/>
                <w:sz w:val="18"/>
                <w:lang w:val="pt-BR" w:eastAsia="pt-BR"/>
              </w:rPr>
            </w:pPr>
            <w:r w:rsidRPr="00CB0C24">
              <w:rPr>
                <w:color w:val="000000"/>
                <w:sz w:val="18"/>
                <w:lang w:val="pt-BR" w:eastAsia="pt-BR"/>
              </w:rPr>
              <w:t>MI</w:t>
            </w:r>
            <w:r w:rsidR="005C1DE8">
              <w:rPr>
                <w:color w:val="000000"/>
                <w:sz w:val="18"/>
                <w:lang w:val="pt-BR" w:eastAsia="pt-BR"/>
              </w:rPr>
              <w:t>SR</w:t>
            </w:r>
          </w:p>
        </w:tc>
      </w:tr>
      <w:tr w:rsidR="00CB0C24" w:rsidRPr="00CB0C24" w14:paraId="767319CC" w14:textId="77777777" w:rsidTr="007E324F">
        <w:trPr>
          <w:trHeight w:val="315"/>
          <w:jc w:val="center"/>
        </w:trPr>
        <w:tc>
          <w:tcPr>
            <w:tcW w:w="2835" w:type="dxa"/>
            <w:tcBorders>
              <w:top w:val="nil"/>
              <w:left w:val="nil"/>
              <w:bottom w:val="nil"/>
              <w:right w:val="single" w:sz="4" w:space="0" w:color="auto"/>
            </w:tcBorders>
            <w:shd w:val="clear" w:color="auto" w:fill="auto"/>
            <w:noWrap/>
            <w:vAlign w:val="center"/>
            <w:hideMark/>
          </w:tcPr>
          <w:p w14:paraId="60C2A55C" w14:textId="236E52B3" w:rsidR="00CB0C24" w:rsidRPr="00CB0C24" w:rsidRDefault="006C5055" w:rsidP="00CB0C24">
            <w:pPr>
              <w:jc w:val="center"/>
              <w:rPr>
                <w:color w:val="000000"/>
                <w:sz w:val="18"/>
                <w:lang w:val="pt-BR" w:eastAsia="pt-BR"/>
              </w:rPr>
            </w:pPr>
            <w:r w:rsidRPr="00A936A6">
              <w:rPr>
                <w:color w:val="000000"/>
                <w:sz w:val="18"/>
                <w:lang w:val="pt-BR" w:eastAsia="pt-BR"/>
              </w:rPr>
              <w:t xml:space="preserve">1) </w:t>
            </w:r>
            <w:r w:rsidR="00CB0C24" w:rsidRPr="00CB0C24">
              <w:rPr>
                <w:color w:val="000000"/>
                <w:sz w:val="18"/>
                <w:lang w:val="pt-BR" w:eastAsia="pt-BR"/>
              </w:rPr>
              <w:t>Chitin recovery</w:t>
            </w:r>
          </w:p>
        </w:tc>
        <w:tc>
          <w:tcPr>
            <w:tcW w:w="1418" w:type="dxa"/>
            <w:tcBorders>
              <w:top w:val="nil"/>
              <w:left w:val="nil"/>
              <w:bottom w:val="nil"/>
              <w:right w:val="nil"/>
            </w:tcBorders>
            <w:shd w:val="clear" w:color="auto" w:fill="auto"/>
            <w:noWrap/>
            <w:vAlign w:val="center"/>
            <w:hideMark/>
          </w:tcPr>
          <w:p w14:paraId="264E989C" w14:textId="57F0E190" w:rsidR="00CB0C24" w:rsidRPr="00CB0C24" w:rsidRDefault="00C87D75" w:rsidP="00CB0C24">
            <w:pPr>
              <w:jc w:val="center"/>
              <w:rPr>
                <w:color w:val="000000"/>
                <w:sz w:val="18"/>
                <w:lang w:val="pt-BR" w:eastAsia="pt-BR"/>
              </w:rPr>
            </w:pPr>
            <w:r w:rsidRPr="00A936A6">
              <w:rPr>
                <w:color w:val="000000"/>
                <w:sz w:val="18"/>
                <w:lang w:val="pt-BR" w:eastAsia="pt-BR"/>
              </w:rPr>
              <w:t>1702,73</w:t>
            </w:r>
          </w:p>
        </w:tc>
        <w:tc>
          <w:tcPr>
            <w:tcW w:w="1276" w:type="dxa"/>
            <w:tcBorders>
              <w:top w:val="nil"/>
              <w:left w:val="nil"/>
              <w:bottom w:val="nil"/>
              <w:right w:val="nil"/>
            </w:tcBorders>
            <w:shd w:val="clear" w:color="auto" w:fill="auto"/>
            <w:noWrap/>
            <w:vAlign w:val="center"/>
            <w:hideMark/>
          </w:tcPr>
          <w:p w14:paraId="30415883" w14:textId="32E5EB14" w:rsidR="00CB0C24" w:rsidRPr="00CB0C24" w:rsidRDefault="00C87D75" w:rsidP="00CB0C24">
            <w:pPr>
              <w:jc w:val="center"/>
              <w:rPr>
                <w:color w:val="000000"/>
                <w:sz w:val="18"/>
                <w:lang w:val="pt-BR" w:eastAsia="pt-BR"/>
              </w:rPr>
            </w:pPr>
            <w:r w:rsidRPr="00A936A6">
              <w:rPr>
                <w:color w:val="000000"/>
                <w:sz w:val="18"/>
                <w:lang w:val="pt-BR" w:eastAsia="pt-BR"/>
              </w:rPr>
              <w:t>1731,07</w:t>
            </w:r>
          </w:p>
        </w:tc>
        <w:tc>
          <w:tcPr>
            <w:tcW w:w="709" w:type="dxa"/>
            <w:tcBorders>
              <w:top w:val="nil"/>
              <w:left w:val="nil"/>
              <w:bottom w:val="nil"/>
              <w:right w:val="nil"/>
            </w:tcBorders>
            <w:shd w:val="clear" w:color="auto" w:fill="auto"/>
            <w:noWrap/>
            <w:vAlign w:val="center"/>
            <w:hideMark/>
          </w:tcPr>
          <w:p w14:paraId="55ED6A23" w14:textId="491A384F" w:rsidR="00CB0C24" w:rsidRPr="00CB0C24" w:rsidRDefault="00C87D75" w:rsidP="00CB0C24">
            <w:pPr>
              <w:jc w:val="center"/>
              <w:rPr>
                <w:color w:val="000000"/>
                <w:sz w:val="18"/>
                <w:lang w:val="pt-BR" w:eastAsia="pt-BR"/>
              </w:rPr>
            </w:pPr>
            <w:r w:rsidRPr="00A936A6">
              <w:rPr>
                <w:color w:val="000000"/>
                <w:sz w:val="18"/>
                <w:lang w:val="pt-BR" w:eastAsia="pt-BR"/>
              </w:rPr>
              <w:t>-28,34</w:t>
            </w:r>
          </w:p>
        </w:tc>
        <w:tc>
          <w:tcPr>
            <w:tcW w:w="581" w:type="dxa"/>
            <w:tcBorders>
              <w:top w:val="nil"/>
              <w:left w:val="nil"/>
              <w:bottom w:val="nil"/>
              <w:right w:val="nil"/>
            </w:tcBorders>
            <w:shd w:val="clear" w:color="auto" w:fill="auto"/>
            <w:noWrap/>
            <w:vAlign w:val="center"/>
            <w:hideMark/>
          </w:tcPr>
          <w:p w14:paraId="100DA4AC" w14:textId="65E048B9" w:rsidR="00CB0C24" w:rsidRPr="00CB0C24" w:rsidRDefault="00C87D75" w:rsidP="00CB0C24">
            <w:pPr>
              <w:jc w:val="center"/>
              <w:rPr>
                <w:color w:val="000000"/>
                <w:sz w:val="18"/>
                <w:lang w:val="pt-BR" w:eastAsia="pt-BR"/>
              </w:rPr>
            </w:pPr>
            <w:r w:rsidRPr="00A936A6">
              <w:rPr>
                <w:color w:val="000000"/>
                <w:sz w:val="18"/>
                <w:lang w:val="pt-BR" w:eastAsia="pt-BR"/>
              </w:rPr>
              <w:t>0,98</w:t>
            </w:r>
          </w:p>
        </w:tc>
      </w:tr>
      <w:tr w:rsidR="00CB0C24" w:rsidRPr="00CB0C24" w14:paraId="7803DDAC" w14:textId="77777777" w:rsidTr="007E324F">
        <w:trPr>
          <w:trHeight w:val="315"/>
          <w:jc w:val="center"/>
        </w:trPr>
        <w:tc>
          <w:tcPr>
            <w:tcW w:w="2835" w:type="dxa"/>
            <w:tcBorders>
              <w:top w:val="nil"/>
              <w:left w:val="nil"/>
              <w:bottom w:val="nil"/>
              <w:right w:val="single" w:sz="4" w:space="0" w:color="auto"/>
            </w:tcBorders>
            <w:shd w:val="clear" w:color="auto" w:fill="auto"/>
            <w:noWrap/>
            <w:vAlign w:val="center"/>
            <w:hideMark/>
          </w:tcPr>
          <w:p w14:paraId="38B1939B" w14:textId="5A6763C2" w:rsidR="00CB0C24" w:rsidRPr="00CB0C24" w:rsidRDefault="006C5055" w:rsidP="00CB0C24">
            <w:pPr>
              <w:jc w:val="center"/>
              <w:rPr>
                <w:color w:val="000000"/>
                <w:sz w:val="18"/>
                <w:lang w:val="pt-BR" w:eastAsia="pt-BR"/>
              </w:rPr>
            </w:pPr>
            <w:r w:rsidRPr="00A936A6">
              <w:rPr>
                <w:color w:val="000000"/>
                <w:sz w:val="18"/>
                <w:lang w:val="pt-BR" w:eastAsia="pt-BR"/>
              </w:rPr>
              <w:t xml:space="preserve">2) </w:t>
            </w:r>
            <w:r w:rsidR="00CB0C24" w:rsidRPr="00CB0C24">
              <w:rPr>
                <w:color w:val="000000"/>
                <w:sz w:val="18"/>
                <w:lang w:val="pt-BR" w:eastAsia="pt-BR"/>
              </w:rPr>
              <w:t>Chitin recovery + Astaxanthin</w:t>
            </w:r>
          </w:p>
        </w:tc>
        <w:tc>
          <w:tcPr>
            <w:tcW w:w="1418" w:type="dxa"/>
            <w:tcBorders>
              <w:top w:val="nil"/>
              <w:left w:val="nil"/>
              <w:bottom w:val="nil"/>
              <w:right w:val="nil"/>
            </w:tcBorders>
            <w:shd w:val="clear" w:color="auto" w:fill="auto"/>
            <w:noWrap/>
            <w:vAlign w:val="center"/>
            <w:hideMark/>
          </w:tcPr>
          <w:p w14:paraId="0F787BC0" w14:textId="589B757F" w:rsidR="00CB0C24" w:rsidRPr="00CB0C24" w:rsidRDefault="00C87D75" w:rsidP="00CB0C24">
            <w:pPr>
              <w:jc w:val="center"/>
              <w:rPr>
                <w:color w:val="000000"/>
                <w:sz w:val="18"/>
                <w:lang w:val="pt-BR" w:eastAsia="pt-BR"/>
              </w:rPr>
            </w:pPr>
            <w:r w:rsidRPr="00A936A6">
              <w:rPr>
                <w:color w:val="000000"/>
                <w:sz w:val="18"/>
                <w:lang w:val="pt-BR" w:eastAsia="pt-BR"/>
              </w:rPr>
              <w:t>1765,95</w:t>
            </w:r>
          </w:p>
        </w:tc>
        <w:tc>
          <w:tcPr>
            <w:tcW w:w="1276" w:type="dxa"/>
            <w:tcBorders>
              <w:top w:val="nil"/>
              <w:left w:val="nil"/>
              <w:bottom w:val="nil"/>
              <w:right w:val="nil"/>
            </w:tcBorders>
            <w:shd w:val="clear" w:color="auto" w:fill="auto"/>
            <w:noWrap/>
            <w:vAlign w:val="center"/>
            <w:hideMark/>
          </w:tcPr>
          <w:p w14:paraId="1C303172" w14:textId="527DA775" w:rsidR="00CB0C24" w:rsidRPr="00CB0C24" w:rsidRDefault="00C87D75" w:rsidP="00CB0C24">
            <w:pPr>
              <w:jc w:val="center"/>
              <w:rPr>
                <w:color w:val="000000"/>
                <w:sz w:val="18"/>
                <w:lang w:val="pt-BR" w:eastAsia="pt-BR"/>
              </w:rPr>
            </w:pPr>
            <w:r w:rsidRPr="00A936A6">
              <w:rPr>
                <w:color w:val="000000"/>
                <w:sz w:val="18"/>
                <w:lang w:val="pt-BR" w:eastAsia="pt-BR"/>
              </w:rPr>
              <w:t>1782,15</w:t>
            </w:r>
          </w:p>
        </w:tc>
        <w:tc>
          <w:tcPr>
            <w:tcW w:w="709" w:type="dxa"/>
            <w:tcBorders>
              <w:top w:val="nil"/>
              <w:left w:val="nil"/>
              <w:bottom w:val="nil"/>
              <w:right w:val="nil"/>
            </w:tcBorders>
            <w:shd w:val="clear" w:color="auto" w:fill="auto"/>
            <w:noWrap/>
            <w:vAlign w:val="center"/>
            <w:hideMark/>
          </w:tcPr>
          <w:p w14:paraId="7FE59AD5" w14:textId="2732BBC7" w:rsidR="00CB0C24" w:rsidRPr="00CB0C24" w:rsidRDefault="00C87D75" w:rsidP="00CB0C24">
            <w:pPr>
              <w:jc w:val="center"/>
              <w:rPr>
                <w:color w:val="000000"/>
                <w:sz w:val="18"/>
                <w:lang w:val="pt-BR" w:eastAsia="pt-BR"/>
              </w:rPr>
            </w:pPr>
            <w:r w:rsidRPr="00A936A6">
              <w:rPr>
                <w:color w:val="000000"/>
                <w:sz w:val="18"/>
                <w:lang w:val="pt-BR" w:eastAsia="pt-BR"/>
              </w:rPr>
              <w:t>-16,20</w:t>
            </w:r>
          </w:p>
        </w:tc>
        <w:tc>
          <w:tcPr>
            <w:tcW w:w="581" w:type="dxa"/>
            <w:tcBorders>
              <w:top w:val="nil"/>
              <w:left w:val="nil"/>
              <w:bottom w:val="nil"/>
              <w:right w:val="nil"/>
            </w:tcBorders>
            <w:shd w:val="clear" w:color="auto" w:fill="auto"/>
            <w:noWrap/>
            <w:vAlign w:val="center"/>
            <w:hideMark/>
          </w:tcPr>
          <w:p w14:paraId="2671D4F7" w14:textId="4BBB8C0D" w:rsidR="00CB0C24" w:rsidRPr="00CB0C24" w:rsidRDefault="00C87D75" w:rsidP="00CB0C24">
            <w:pPr>
              <w:jc w:val="center"/>
              <w:rPr>
                <w:color w:val="000000"/>
                <w:sz w:val="18"/>
                <w:lang w:val="pt-BR" w:eastAsia="pt-BR"/>
              </w:rPr>
            </w:pPr>
            <w:r w:rsidRPr="00A936A6">
              <w:rPr>
                <w:color w:val="000000"/>
                <w:sz w:val="18"/>
                <w:lang w:val="pt-BR" w:eastAsia="pt-BR"/>
              </w:rPr>
              <w:t>0,99</w:t>
            </w:r>
          </w:p>
        </w:tc>
      </w:tr>
      <w:tr w:rsidR="00CB0C24" w:rsidRPr="00CB0C24" w14:paraId="215F5636" w14:textId="77777777" w:rsidTr="007E324F">
        <w:trPr>
          <w:trHeight w:val="315"/>
          <w:jc w:val="center"/>
        </w:trPr>
        <w:tc>
          <w:tcPr>
            <w:tcW w:w="2835" w:type="dxa"/>
            <w:tcBorders>
              <w:top w:val="nil"/>
              <w:left w:val="nil"/>
              <w:bottom w:val="nil"/>
              <w:right w:val="single" w:sz="4" w:space="0" w:color="auto"/>
            </w:tcBorders>
            <w:shd w:val="clear" w:color="auto" w:fill="auto"/>
            <w:noWrap/>
            <w:vAlign w:val="center"/>
            <w:hideMark/>
          </w:tcPr>
          <w:p w14:paraId="475BF670" w14:textId="4B6AF54C" w:rsidR="00CB0C24" w:rsidRPr="00CB0C24" w:rsidRDefault="006C5055" w:rsidP="00CB0C24">
            <w:pPr>
              <w:jc w:val="center"/>
              <w:rPr>
                <w:color w:val="000000"/>
                <w:sz w:val="18"/>
                <w:lang w:val="pt-BR" w:eastAsia="pt-BR"/>
              </w:rPr>
            </w:pPr>
            <w:r w:rsidRPr="00A936A6">
              <w:rPr>
                <w:color w:val="000000"/>
                <w:sz w:val="18"/>
                <w:lang w:val="pt-BR" w:eastAsia="pt-BR"/>
              </w:rPr>
              <w:t xml:space="preserve">3) </w:t>
            </w:r>
            <w:r w:rsidR="00CB0C24" w:rsidRPr="00CB0C24">
              <w:rPr>
                <w:color w:val="000000"/>
                <w:sz w:val="18"/>
                <w:lang w:val="pt-BR" w:eastAsia="pt-BR"/>
              </w:rPr>
              <w:t>Chitosan recovery</w:t>
            </w:r>
          </w:p>
        </w:tc>
        <w:tc>
          <w:tcPr>
            <w:tcW w:w="1418" w:type="dxa"/>
            <w:tcBorders>
              <w:top w:val="nil"/>
              <w:left w:val="nil"/>
              <w:bottom w:val="nil"/>
              <w:right w:val="nil"/>
            </w:tcBorders>
            <w:shd w:val="clear" w:color="auto" w:fill="auto"/>
            <w:noWrap/>
            <w:vAlign w:val="center"/>
            <w:hideMark/>
          </w:tcPr>
          <w:p w14:paraId="2E09F058" w14:textId="5593EBDC" w:rsidR="00CB0C24" w:rsidRPr="00CB0C24" w:rsidRDefault="00C87D75" w:rsidP="00CB0C24">
            <w:pPr>
              <w:jc w:val="center"/>
              <w:rPr>
                <w:color w:val="000000"/>
                <w:sz w:val="18"/>
                <w:lang w:val="pt-BR" w:eastAsia="pt-BR"/>
              </w:rPr>
            </w:pPr>
            <w:r w:rsidRPr="00A936A6">
              <w:rPr>
                <w:color w:val="000000"/>
                <w:sz w:val="18"/>
                <w:lang w:val="pt-BR" w:eastAsia="pt-BR"/>
              </w:rPr>
              <w:t>2906,01</w:t>
            </w:r>
          </w:p>
        </w:tc>
        <w:tc>
          <w:tcPr>
            <w:tcW w:w="1276" w:type="dxa"/>
            <w:tcBorders>
              <w:top w:val="nil"/>
              <w:left w:val="nil"/>
              <w:bottom w:val="nil"/>
              <w:right w:val="nil"/>
            </w:tcBorders>
            <w:shd w:val="clear" w:color="auto" w:fill="auto"/>
            <w:noWrap/>
            <w:vAlign w:val="center"/>
            <w:hideMark/>
          </w:tcPr>
          <w:p w14:paraId="4E5628A6" w14:textId="192CDFF2" w:rsidR="00CB0C24" w:rsidRPr="00CB0C24" w:rsidRDefault="00C87D75" w:rsidP="00CB0C24">
            <w:pPr>
              <w:jc w:val="center"/>
              <w:rPr>
                <w:color w:val="000000"/>
                <w:sz w:val="18"/>
                <w:lang w:val="pt-BR" w:eastAsia="pt-BR"/>
              </w:rPr>
            </w:pPr>
            <w:r w:rsidRPr="00A936A6">
              <w:rPr>
                <w:color w:val="000000"/>
                <w:sz w:val="18"/>
                <w:lang w:val="pt-BR" w:eastAsia="pt-BR"/>
              </w:rPr>
              <w:t>2073,51</w:t>
            </w:r>
          </w:p>
        </w:tc>
        <w:tc>
          <w:tcPr>
            <w:tcW w:w="709" w:type="dxa"/>
            <w:tcBorders>
              <w:top w:val="nil"/>
              <w:left w:val="nil"/>
              <w:bottom w:val="nil"/>
              <w:right w:val="nil"/>
            </w:tcBorders>
            <w:shd w:val="clear" w:color="auto" w:fill="auto"/>
            <w:noWrap/>
            <w:vAlign w:val="center"/>
            <w:hideMark/>
          </w:tcPr>
          <w:p w14:paraId="5A62497C" w14:textId="0EFB5928" w:rsidR="00CB0C24" w:rsidRPr="00CB0C24" w:rsidRDefault="00C87D75" w:rsidP="00CB0C24">
            <w:pPr>
              <w:jc w:val="center"/>
              <w:rPr>
                <w:color w:val="000000"/>
                <w:sz w:val="18"/>
                <w:lang w:val="pt-BR" w:eastAsia="pt-BR"/>
              </w:rPr>
            </w:pPr>
            <w:r w:rsidRPr="00A936A6">
              <w:rPr>
                <w:color w:val="000000"/>
                <w:sz w:val="18"/>
                <w:lang w:val="pt-BR" w:eastAsia="pt-BR"/>
              </w:rPr>
              <w:t>832,50</w:t>
            </w:r>
          </w:p>
        </w:tc>
        <w:tc>
          <w:tcPr>
            <w:tcW w:w="581" w:type="dxa"/>
            <w:tcBorders>
              <w:top w:val="nil"/>
              <w:left w:val="nil"/>
              <w:bottom w:val="nil"/>
              <w:right w:val="nil"/>
            </w:tcBorders>
            <w:shd w:val="clear" w:color="auto" w:fill="auto"/>
            <w:noWrap/>
            <w:vAlign w:val="center"/>
            <w:hideMark/>
          </w:tcPr>
          <w:p w14:paraId="07AA0A71" w14:textId="05D4268B" w:rsidR="00CB0C24" w:rsidRPr="00CB0C24" w:rsidRDefault="00C87D75" w:rsidP="00CB0C24">
            <w:pPr>
              <w:jc w:val="center"/>
              <w:rPr>
                <w:color w:val="000000"/>
                <w:sz w:val="18"/>
                <w:lang w:val="pt-BR" w:eastAsia="pt-BR"/>
              </w:rPr>
            </w:pPr>
            <w:r w:rsidRPr="00A936A6">
              <w:rPr>
                <w:color w:val="000000"/>
                <w:sz w:val="18"/>
                <w:lang w:val="pt-BR" w:eastAsia="pt-BR"/>
              </w:rPr>
              <w:t>1,40</w:t>
            </w:r>
          </w:p>
        </w:tc>
      </w:tr>
      <w:tr w:rsidR="00CB0C24" w:rsidRPr="00CB0C24" w14:paraId="7B128DE1" w14:textId="77777777" w:rsidTr="007E324F">
        <w:trPr>
          <w:trHeight w:val="315"/>
          <w:jc w:val="center"/>
        </w:trPr>
        <w:tc>
          <w:tcPr>
            <w:tcW w:w="2835" w:type="dxa"/>
            <w:tcBorders>
              <w:top w:val="nil"/>
              <w:left w:val="nil"/>
              <w:bottom w:val="single" w:sz="4" w:space="0" w:color="auto"/>
              <w:right w:val="single" w:sz="4" w:space="0" w:color="auto"/>
            </w:tcBorders>
            <w:shd w:val="clear" w:color="auto" w:fill="auto"/>
            <w:noWrap/>
            <w:vAlign w:val="center"/>
            <w:hideMark/>
          </w:tcPr>
          <w:p w14:paraId="617B2231" w14:textId="61514D0F" w:rsidR="00CB0C24" w:rsidRPr="00CB0C24" w:rsidRDefault="006C5055" w:rsidP="00CB0C24">
            <w:pPr>
              <w:jc w:val="center"/>
              <w:rPr>
                <w:color w:val="000000"/>
                <w:sz w:val="18"/>
                <w:lang w:val="pt-BR" w:eastAsia="pt-BR"/>
              </w:rPr>
            </w:pPr>
            <w:r w:rsidRPr="00A936A6">
              <w:rPr>
                <w:color w:val="000000"/>
                <w:sz w:val="18"/>
                <w:lang w:val="pt-BR" w:eastAsia="pt-BR"/>
              </w:rPr>
              <w:t xml:space="preserve">4) </w:t>
            </w:r>
            <w:r w:rsidR="00CB0C24" w:rsidRPr="00CB0C24">
              <w:rPr>
                <w:color w:val="000000"/>
                <w:sz w:val="18"/>
                <w:lang w:val="pt-BR" w:eastAsia="pt-BR"/>
              </w:rPr>
              <w:t>Chitosan recovery + Astaxanthin</w:t>
            </w:r>
          </w:p>
        </w:tc>
        <w:tc>
          <w:tcPr>
            <w:tcW w:w="1418" w:type="dxa"/>
            <w:tcBorders>
              <w:top w:val="nil"/>
              <w:left w:val="nil"/>
              <w:bottom w:val="single" w:sz="4" w:space="0" w:color="auto"/>
              <w:right w:val="nil"/>
            </w:tcBorders>
            <w:shd w:val="clear" w:color="auto" w:fill="auto"/>
            <w:noWrap/>
            <w:vAlign w:val="center"/>
            <w:hideMark/>
          </w:tcPr>
          <w:p w14:paraId="4BDBA411" w14:textId="038E4DF9" w:rsidR="00CB0C24" w:rsidRPr="00CB0C24" w:rsidRDefault="00C87D75" w:rsidP="00CB0C24">
            <w:pPr>
              <w:jc w:val="center"/>
              <w:rPr>
                <w:color w:val="000000"/>
                <w:sz w:val="18"/>
                <w:lang w:val="pt-BR" w:eastAsia="pt-BR"/>
              </w:rPr>
            </w:pPr>
            <w:r w:rsidRPr="00A936A6">
              <w:rPr>
                <w:color w:val="000000"/>
                <w:sz w:val="18"/>
                <w:lang w:val="pt-BR" w:eastAsia="pt-BR"/>
              </w:rPr>
              <w:t>2960,82</w:t>
            </w:r>
          </w:p>
        </w:tc>
        <w:tc>
          <w:tcPr>
            <w:tcW w:w="1276" w:type="dxa"/>
            <w:tcBorders>
              <w:top w:val="nil"/>
              <w:left w:val="nil"/>
              <w:bottom w:val="single" w:sz="4" w:space="0" w:color="auto"/>
              <w:right w:val="nil"/>
            </w:tcBorders>
            <w:shd w:val="clear" w:color="auto" w:fill="auto"/>
            <w:noWrap/>
            <w:vAlign w:val="center"/>
            <w:hideMark/>
          </w:tcPr>
          <w:p w14:paraId="4431FA17" w14:textId="08AF6602" w:rsidR="00CB0C24" w:rsidRPr="00CB0C24" w:rsidRDefault="00C87D75" w:rsidP="00CB0C24">
            <w:pPr>
              <w:jc w:val="center"/>
              <w:rPr>
                <w:color w:val="000000"/>
                <w:sz w:val="18"/>
                <w:lang w:val="pt-BR" w:eastAsia="pt-BR"/>
              </w:rPr>
            </w:pPr>
            <w:r w:rsidRPr="00A936A6">
              <w:rPr>
                <w:color w:val="000000"/>
                <w:sz w:val="18"/>
                <w:lang w:val="pt-BR" w:eastAsia="pt-BR"/>
              </w:rPr>
              <w:t>2124,59</w:t>
            </w:r>
          </w:p>
        </w:tc>
        <w:tc>
          <w:tcPr>
            <w:tcW w:w="709" w:type="dxa"/>
            <w:tcBorders>
              <w:top w:val="nil"/>
              <w:left w:val="nil"/>
              <w:bottom w:val="single" w:sz="4" w:space="0" w:color="auto"/>
              <w:right w:val="nil"/>
            </w:tcBorders>
            <w:shd w:val="clear" w:color="auto" w:fill="auto"/>
            <w:noWrap/>
            <w:vAlign w:val="center"/>
            <w:hideMark/>
          </w:tcPr>
          <w:p w14:paraId="4C541CFF" w14:textId="72DE830F" w:rsidR="00CB0C24" w:rsidRPr="00CB0C24" w:rsidRDefault="00C87D75" w:rsidP="00CB0C24">
            <w:pPr>
              <w:jc w:val="center"/>
              <w:rPr>
                <w:color w:val="000000"/>
                <w:sz w:val="18"/>
                <w:lang w:val="pt-BR" w:eastAsia="pt-BR"/>
              </w:rPr>
            </w:pPr>
            <w:r w:rsidRPr="00A936A6">
              <w:rPr>
                <w:color w:val="000000"/>
                <w:sz w:val="18"/>
                <w:lang w:val="pt-BR" w:eastAsia="pt-BR"/>
              </w:rPr>
              <w:t>836,23</w:t>
            </w:r>
          </w:p>
        </w:tc>
        <w:tc>
          <w:tcPr>
            <w:tcW w:w="581" w:type="dxa"/>
            <w:tcBorders>
              <w:top w:val="nil"/>
              <w:left w:val="nil"/>
              <w:bottom w:val="single" w:sz="4" w:space="0" w:color="auto"/>
              <w:right w:val="nil"/>
            </w:tcBorders>
            <w:shd w:val="clear" w:color="auto" w:fill="auto"/>
            <w:noWrap/>
            <w:vAlign w:val="center"/>
            <w:hideMark/>
          </w:tcPr>
          <w:p w14:paraId="51E937E8" w14:textId="7F577420" w:rsidR="00CB0C24" w:rsidRPr="00CB0C24" w:rsidRDefault="00C87D75" w:rsidP="00CB0C24">
            <w:pPr>
              <w:jc w:val="center"/>
              <w:rPr>
                <w:color w:val="000000"/>
                <w:sz w:val="18"/>
                <w:lang w:val="pt-BR" w:eastAsia="pt-BR"/>
              </w:rPr>
            </w:pPr>
            <w:r w:rsidRPr="00A936A6">
              <w:rPr>
                <w:color w:val="000000"/>
                <w:sz w:val="18"/>
                <w:lang w:val="pt-BR" w:eastAsia="pt-BR"/>
              </w:rPr>
              <w:t>1,39</w:t>
            </w:r>
          </w:p>
        </w:tc>
      </w:tr>
    </w:tbl>
    <w:p w14:paraId="1B4BC7B9" w14:textId="77777777" w:rsidR="00B7010F" w:rsidRDefault="00CB0C24" w:rsidP="00AC01B5">
      <w:pPr>
        <w:pStyle w:val="Els-body-text"/>
        <w:rPr>
          <w:lang w:val="pt-BR"/>
        </w:rPr>
      </w:pPr>
      <w:r w:rsidRPr="00A936A6">
        <w:rPr>
          <w:lang w:val="pt-BR"/>
        </w:rPr>
        <w:fldChar w:fldCharType="end"/>
      </w:r>
    </w:p>
    <w:p w14:paraId="26EBC2A9" w14:textId="3DB2BC72" w:rsidR="00D77355" w:rsidRDefault="00D77355" w:rsidP="00D77355">
      <w:pPr>
        <w:pStyle w:val="Els-body-text"/>
      </w:pPr>
      <w:r>
        <w:t xml:space="preserve">The process did not prove to be economically viable for </w:t>
      </w:r>
      <w:r w:rsidR="005C1DE8">
        <w:t xml:space="preserve">Scenarios </w:t>
      </w:r>
      <w:r>
        <w:t>1 and 2, as shown by the negative EGP values. The revenue obtained from the sale of pigments promoted a s</w:t>
      </w:r>
      <w:r w:rsidR="00863167">
        <w:t>light increase in gross profit (</w:t>
      </w:r>
      <w:r w:rsidR="00863167" w:rsidRPr="00B05436">
        <w:t>$</w:t>
      </w:r>
      <w:r w:rsidR="00863167">
        <w:t xml:space="preserve"> 3.73), </w:t>
      </w:r>
      <w:r>
        <w:t xml:space="preserve">as indicated by positive values for EGP and greater than </w:t>
      </w:r>
      <w:proofErr w:type="gramStart"/>
      <w:r>
        <w:t>1</w:t>
      </w:r>
      <w:proofErr w:type="gramEnd"/>
      <w:r>
        <w:t xml:space="preserve"> for MIRS in scenario 4. However, it is worth highlighting that the recovery of the solvent used to extract the pigments requires </w:t>
      </w:r>
      <w:proofErr w:type="gramStart"/>
      <w:r>
        <w:t>high energy</w:t>
      </w:r>
      <w:proofErr w:type="gramEnd"/>
      <w:r>
        <w:t xml:space="preserve"> consumption, which directly impacts revenue. This study only considered the costs of reagents and, therefore, the proposed approach presents attractive economic potential only for scenario 3.</w:t>
      </w:r>
    </w:p>
    <w:p w14:paraId="76D75F78" w14:textId="7407E9A3" w:rsidR="009E2245" w:rsidRPr="00285CC4" w:rsidRDefault="00D77355" w:rsidP="008D2649">
      <w:pPr>
        <w:pStyle w:val="Els-body-text"/>
      </w:pPr>
      <w:r>
        <w:t>Decolo</w:t>
      </w:r>
      <w:bookmarkStart w:id="0" w:name="_GoBack"/>
      <w:bookmarkEnd w:id="0"/>
      <w:r>
        <w:t xml:space="preserve">rization becomes an important step if a highly purified product is required, for example in application as a biomaterial where residual pigments can cause side effects. In this case, high-quality chitosan is more expensive, offsetting the costs of implementing more steps in the process. The price of astaxanthin </w:t>
      </w:r>
      <w:proofErr w:type="gramStart"/>
      <w:r>
        <w:t>must be adjusted</w:t>
      </w:r>
      <w:proofErr w:type="gramEnd"/>
      <w:r>
        <w:t xml:space="preserve"> so that the inclusion of the pigment recovery step is profitable. </w:t>
      </w:r>
      <w:r w:rsidR="0027024C" w:rsidRPr="0027024C">
        <w:t xml:space="preserve">It is worth noting that the EGP and MIRS values </w:t>
      </w:r>
      <w:proofErr w:type="gramStart"/>
      <w:r w:rsidR="0027024C" w:rsidRPr="0027024C">
        <w:t>are linked</w:t>
      </w:r>
      <w:proofErr w:type="gramEnd"/>
      <w:r w:rsidR="0027024C" w:rsidRPr="0027024C">
        <w:t xml:space="preserve"> to the sales prices of the products and may undergo changes, requiring a sensitivity analysis.</w:t>
      </w:r>
      <w:r w:rsidR="0027024C">
        <w:t xml:space="preserve"> </w:t>
      </w:r>
      <w:r w:rsidR="00285CC4" w:rsidRPr="00285CC4">
        <w:t xml:space="preserve">Furthermore, the use of enzymatic and fermentative processes </w:t>
      </w:r>
      <w:proofErr w:type="gramStart"/>
      <w:r w:rsidR="00285CC4" w:rsidRPr="00285CC4">
        <w:t>must be considered</w:t>
      </w:r>
      <w:proofErr w:type="gramEnd"/>
      <w:r w:rsidR="00285CC4" w:rsidRPr="00285CC4">
        <w:t xml:space="preserve"> as they enable the recovery of protein hydrolysates and mineral salts</w:t>
      </w:r>
      <w:r w:rsidR="009E14F6">
        <w:t>, diversifying the products to be obtained from the shrimp wastes</w:t>
      </w:r>
      <w:r w:rsidR="00285CC4" w:rsidRPr="00285CC4">
        <w:t>.</w:t>
      </w:r>
    </w:p>
    <w:p w14:paraId="144DE6A5" w14:textId="4863FF54" w:rsidR="008D2649" w:rsidRDefault="00280338" w:rsidP="00D2427A">
      <w:pPr>
        <w:pStyle w:val="Els-1storder-head"/>
        <w:spacing w:before="0" w:after="120" w:line="240" w:lineRule="auto"/>
        <w:rPr>
          <w:lang w:val="en-GB"/>
        </w:rPr>
      </w:pPr>
      <w:r w:rsidRPr="00A936A6">
        <w:rPr>
          <w:lang w:val="en-GB"/>
        </w:rPr>
        <w:t>Conclusions</w:t>
      </w:r>
    </w:p>
    <w:p w14:paraId="31B9E062" w14:textId="63007D2B" w:rsidR="006D3E68" w:rsidRDefault="0027024C" w:rsidP="00573AF5">
      <w:pPr>
        <w:pStyle w:val="Els-body-text"/>
        <w:rPr>
          <w:lang w:val="en-GB"/>
        </w:rPr>
      </w:pPr>
      <w:r w:rsidRPr="0027024C">
        <w:rPr>
          <w:lang w:val="en-GB"/>
        </w:rPr>
        <w:t xml:space="preserve">This work aimed </w:t>
      </w:r>
      <w:r w:rsidR="005C1DE8">
        <w:rPr>
          <w:lang w:val="en-GB"/>
        </w:rPr>
        <w:t>at</w:t>
      </w:r>
      <w:r w:rsidR="005C1DE8" w:rsidRPr="0027024C">
        <w:rPr>
          <w:lang w:val="en-GB"/>
        </w:rPr>
        <w:t xml:space="preserve"> </w:t>
      </w:r>
      <w:r w:rsidRPr="0027024C">
        <w:rPr>
          <w:lang w:val="en-GB"/>
        </w:rPr>
        <w:t>apply</w:t>
      </w:r>
      <w:r w:rsidR="005C1DE8">
        <w:rPr>
          <w:lang w:val="en-GB"/>
        </w:rPr>
        <w:t>ing</w:t>
      </w:r>
      <w:r w:rsidRPr="0027024C">
        <w:rPr>
          <w:lang w:val="en-GB"/>
        </w:rPr>
        <w:t xml:space="preserve"> stoichiometric segmentation to determine the performance of shrimp farming waste processing to obtain chitin, chitosan, and astaxanthin by the chemical method without considering detailed project calculations. According to the par</w:t>
      </w:r>
      <w:r w:rsidR="00863167">
        <w:rPr>
          <w:lang w:val="en-GB"/>
        </w:rPr>
        <w:t xml:space="preserve">ameters </w:t>
      </w:r>
      <w:r w:rsidRPr="0027024C">
        <w:rPr>
          <w:lang w:val="en-GB"/>
        </w:rPr>
        <w:t>adopted, the conceptual approach of the biorefinery was viable only for obtaining chitosan</w:t>
      </w:r>
      <w:r>
        <w:rPr>
          <w:lang w:val="en-GB"/>
        </w:rPr>
        <w:t xml:space="preserve"> (</w:t>
      </w:r>
      <w:r w:rsidR="005C1DE8">
        <w:rPr>
          <w:lang w:val="en-GB"/>
        </w:rPr>
        <w:t xml:space="preserve">Scenario </w:t>
      </w:r>
      <w:r>
        <w:rPr>
          <w:lang w:val="en-GB"/>
        </w:rPr>
        <w:t>3)</w:t>
      </w:r>
      <w:r w:rsidR="00863167">
        <w:rPr>
          <w:lang w:val="en-GB"/>
        </w:rPr>
        <w:t xml:space="preserve">, </w:t>
      </w:r>
      <w:r w:rsidR="00863167" w:rsidRPr="00B05436">
        <w:t>resulting in a gross revenue of $</w:t>
      </w:r>
      <w:r w:rsidR="00863167">
        <w:t xml:space="preserve"> </w:t>
      </w:r>
      <w:r w:rsidR="00270E4F">
        <w:t>832.50/</w:t>
      </w:r>
      <w:r w:rsidR="00863167" w:rsidRPr="00B05436">
        <w:t>cycle</w:t>
      </w:r>
      <w:r w:rsidRPr="0027024C">
        <w:rPr>
          <w:lang w:val="en-GB"/>
        </w:rPr>
        <w:t xml:space="preserve">. The slight increase in revenue obtained from the sale of astaxanthin did not compensate for the inclusion of another step in the process. In this </w:t>
      </w:r>
      <w:r w:rsidR="00B86E82">
        <w:rPr>
          <w:lang w:val="en-GB"/>
        </w:rPr>
        <w:t xml:space="preserve">study, economic indicators </w:t>
      </w:r>
      <w:proofErr w:type="gramStart"/>
      <w:r w:rsidR="00B86E82">
        <w:rPr>
          <w:lang w:val="en-GB"/>
        </w:rPr>
        <w:t xml:space="preserve">were </w:t>
      </w:r>
      <w:r w:rsidRPr="0027024C">
        <w:rPr>
          <w:lang w:val="en-GB"/>
        </w:rPr>
        <w:t>considered</w:t>
      </w:r>
      <w:proofErr w:type="gramEnd"/>
      <w:r w:rsidRPr="0027024C">
        <w:rPr>
          <w:lang w:val="en-GB"/>
        </w:rPr>
        <w:t xml:space="preserve"> that provide an upper limit to the process revenue. However, it is important to consider other sustainability assessment tools when making decisions regarding the implementation of large-scale facilities.</w:t>
      </w:r>
    </w:p>
    <w:p w14:paraId="73799EC4" w14:textId="77777777" w:rsidR="00573AF5" w:rsidRPr="00573AF5" w:rsidRDefault="00573AF5" w:rsidP="00573AF5">
      <w:pPr>
        <w:pStyle w:val="Els-body-text"/>
        <w:rPr>
          <w:lang w:val="en-GB"/>
        </w:rPr>
      </w:pPr>
    </w:p>
    <w:p w14:paraId="3DDAEB22" w14:textId="063E540F" w:rsidR="006D3E68" w:rsidRPr="006D3E68" w:rsidRDefault="00573AF5" w:rsidP="006D3E68">
      <w:pPr>
        <w:pStyle w:val="Els-body-text"/>
      </w:pPr>
      <w:r w:rsidRPr="0081635A">
        <w:rPr>
          <w:b/>
          <w:bCs/>
        </w:rPr>
        <w:t>Acknowledgements.</w:t>
      </w:r>
      <w:r w:rsidRPr="0081635A">
        <w:t xml:space="preserve"> </w:t>
      </w:r>
      <w:r w:rsidR="006D3E68" w:rsidRPr="006D3E68">
        <w:t>The authors thank FAPESP agency for the financial support (project number 2022/02809-0 and 2023/07775-0)</w:t>
      </w:r>
      <w:r w:rsidR="006D3E68">
        <w:t>.</w:t>
      </w:r>
    </w:p>
    <w:p w14:paraId="144DE6BF" w14:textId="608D0AD6" w:rsidR="008D2649" w:rsidRPr="00A936A6" w:rsidRDefault="008D2649" w:rsidP="00D2427A">
      <w:pPr>
        <w:pStyle w:val="Els-reference-head"/>
        <w:spacing w:before="120"/>
      </w:pPr>
      <w:r w:rsidRPr="00A936A6">
        <w:t>References</w:t>
      </w:r>
    </w:p>
    <w:p w14:paraId="091838EC" w14:textId="245DBDD3" w:rsidR="00F96905" w:rsidRDefault="00F96905" w:rsidP="006B04F8">
      <w:pPr>
        <w:pStyle w:val="Els-referenceno-number"/>
        <w:spacing w:after="40"/>
        <w:ind w:left="238" w:hanging="238"/>
      </w:pPr>
      <w:r w:rsidRPr="00270E4F">
        <w:rPr>
          <w:lang w:val="pt-BR"/>
        </w:rPr>
        <w:t xml:space="preserve">P. A. Aneesh, R. Anandan, L. R. G. Kumar, K. K. Ajeeshkumar, K. </w:t>
      </w:r>
      <w:r w:rsidR="00270E4F" w:rsidRPr="00270E4F">
        <w:rPr>
          <w:lang w:val="pt-BR"/>
        </w:rPr>
        <w:t>A. Kumar, S. Mathew.</w:t>
      </w:r>
      <w:r w:rsidRPr="00270E4F">
        <w:rPr>
          <w:lang w:val="pt-BR"/>
        </w:rPr>
        <w:t xml:space="preserve"> </w:t>
      </w:r>
      <w:r w:rsidR="00270E4F">
        <w:rPr>
          <w:lang w:val="en-US"/>
        </w:rPr>
        <w:t>2020.</w:t>
      </w:r>
      <w:r w:rsidRPr="00F96905">
        <w:rPr>
          <w:lang w:val="en-US"/>
        </w:rPr>
        <w:t xml:space="preserve"> </w:t>
      </w:r>
      <w:r>
        <w:t>A step to</w:t>
      </w:r>
      <w:r w:rsidR="00270E4F">
        <w:t xml:space="preserve"> shell biorefinery-</w:t>
      </w:r>
      <w:r>
        <w:t>Extraction of astaxanthin-rich oil, protein, chitin, and chitos</w:t>
      </w:r>
      <w:r w:rsidR="00270E4F">
        <w:t>an from shrimp processing waste.</w:t>
      </w:r>
      <w:r>
        <w:t xml:space="preserve"> Biomass Conversion and Biorefinery, 13, 205-214.</w:t>
      </w:r>
    </w:p>
    <w:p w14:paraId="0D39F23F" w14:textId="4B83087F" w:rsidR="00F96905" w:rsidRDefault="003370CD" w:rsidP="006B04F8">
      <w:pPr>
        <w:pStyle w:val="Els-referenceno-number"/>
        <w:spacing w:after="40"/>
        <w:ind w:left="238" w:hanging="238"/>
        <w:rPr>
          <w:lang w:val="en-US"/>
        </w:rPr>
      </w:pPr>
      <w:r w:rsidRPr="003370CD">
        <w:rPr>
          <w:lang w:val="en-US"/>
        </w:rPr>
        <w:t>M. Bertran</w:t>
      </w:r>
      <w:r w:rsidR="00F96905" w:rsidRPr="003370CD">
        <w:rPr>
          <w:lang w:val="en-US"/>
        </w:rPr>
        <w:t>, A. K. Tulac, R.</w:t>
      </w:r>
      <w:r w:rsidR="00270E4F" w:rsidRPr="003370CD">
        <w:rPr>
          <w:lang w:val="en-US"/>
        </w:rPr>
        <w:t xml:space="preserve"> </w:t>
      </w:r>
      <w:r w:rsidR="00F96905" w:rsidRPr="003370CD">
        <w:rPr>
          <w:lang w:val="en-US"/>
        </w:rPr>
        <w:t>Gan</w:t>
      </w:r>
      <w:r w:rsidR="00270E4F" w:rsidRPr="003370CD">
        <w:rPr>
          <w:lang w:val="en-US"/>
        </w:rPr>
        <w:t>. 2022.</w:t>
      </w:r>
      <w:r w:rsidR="00C20D97" w:rsidRPr="003370CD">
        <w:rPr>
          <w:lang w:val="en-US"/>
        </w:rPr>
        <w:t xml:space="preserve"> </w:t>
      </w:r>
      <w:r w:rsidR="00C20D97" w:rsidRPr="00C20D97">
        <w:rPr>
          <w:lang w:val="en-US"/>
        </w:rPr>
        <w:t>Sustainable biorefinery process synthesis, design, and simulation: Systematic computer-aided methods and tools</w:t>
      </w:r>
      <w:r w:rsidR="00270E4F">
        <w:rPr>
          <w:lang w:val="en-US"/>
        </w:rPr>
        <w:t>.</w:t>
      </w:r>
      <w:r w:rsidR="00C20D97">
        <w:rPr>
          <w:lang w:val="en-US"/>
        </w:rPr>
        <w:t xml:space="preserve"> </w:t>
      </w:r>
      <w:r w:rsidR="00D2427A">
        <w:rPr>
          <w:i/>
          <w:lang w:val="en-US"/>
        </w:rPr>
        <w:t>In</w:t>
      </w:r>
      <w:r w:rsidR="00D2427A">
        <w:rPr>
          <w:lang w:val="en-US"/>
        </w:rPr>
        <w:t>: N.</w:t>
      </w:r>
      <w:r w:rsidR="00D2427A" w:rsidRPr="00D2427A">
        <w:rPr>
          <w:lang w:val="en-US"/>
        </w:rPr>
        <w:t xml:space="preserve"> Thongchul, </w:t>
      </w:r>
      <w:r w:rsidR="00D2427A">
        <w:rPr>
          <w:lang w:val="en-US"/>
        </w:rPr>
        <w:t>A. Kokossis, S.</w:t>
      </w:r>
      <w:r w:rsidR="00D2427A" w:rsidRPr="00D2427A">
        <w:rPr>
          <w:lang w:val="en-US"/>
        </w:rPr>
        <w:t xml:space="preserve"> Assabumrungrat</w:t>
      </w:r>
      <w:r w:rsidR="00D2427A">
        <w:rPr>
          <w:lang w:val="en-US"/>
        </w:rPr>
        <w:t>,</w:t>
      </w:r>
      <w:r w:rsidR="00D2427A">
        <w:rPr>
          <w:i/>
          <w:lang w:val="en-US"/>
        </w:rPr>
        <w:t xml:space="preserve"> </w:t>
      </w:r>
      <w:r w:rsidR="00C20D97" w:rsidRPr="00C20D97">
        <w:rPr>
          <w:lang w:val="en-US"/>
        </w:rPr>
        <w:t>A-Z of Biorefinery</w:t>
      </w:r>
      <w:r w:rsidR="00C20D97">
        <w:rPr>
          <w:lang w:val="en-US"/>
        </w:rPr>
        <w:t xml:space="preserve">, </w:t>
      </w:r>
      <w:r w:rsidR="00270E4F">
        <w:rPr>
          <w:lang w:val="en-US"/>
        </w:rPr>
        <w:t>Elsevier, 2022</w:t>
      </w:r>
      <w:r w:rsidR="00D2427A">
        <w:rPr>
          <w:lang w:val="en-US"/>
        </w:rPr>
        <w:t xml:space="preserve">, </w:t>
      </w:r>
      <w:r w:rsidR="00D2427A" w:rsidRPr="00D2427A">
        <w:rPr>
          <w:lang w:val="en-US"/>
        </w:rPr>
        <w:t>559-605</w:t>
      </w:r>
      <w:r w:rsidR="00C20D97">
        <w:rPr>
          <w:lang w:val="en-US"/>
        </w:rPr>
        <w:t>.</w:t>
      </w:r>
    </w:p>
    <w:p w14:paraId="30F5C4F5" w14:textId="5F938117" w:rsidR="00C20D97" w:rsidRDefault="00270E4F" w:rsidP="006B04F8">
      <w:pPr>
        <w:pStyle w:val="Els-referenceno-number"/>
        <w:spacing w:after="40"/>
        <w:ind w:left="238" w:hanging="238"/>
        <w:rPr>
          <w:lang w:val="en-US"/>
        </w:rPr>
      </w:pPr>
      <w:r>
        <w:rPr>
          <w:lang w:val="en-US"/>
        </w:rPr>
        <w:t>M. M. El-Halwagi. 2017.</w:t>
      </w:r>
      <w:r w:rsidR="00C20D97" w:rsidRPr="00C20D97">
        <w:rPr>
          <w:lang w:val="en-US"/>
        </w:rPr>
        <w:t xml:space="preserve"> Benchmarking Process Performance Through Overall Mass Targeting</w:t>
      </w:r>
      <w:r w:rsidR="00D2427A">
        <w:rPr>
          <w:lang w:val="en-US"/>
        </w:rPr>
        <w:t xml:space="preserve">. </w:t>
      </w:r>
      <w:r w:rsidR="00D2427A">
        <w:rPr>
          <w:i/>
          <w:lang w:val="en-US"/>
        </w:rPr>
        <w:t>In:</w:t>
      </w:r>
      <w:r w:rsidR="00C20D97">
        <w:rPr>
          <w:lang w:val="en-US"/>
        </w:rPr>
        <w:t xml:space="preserve"> Sustainable Design through Process I</w:t>
      </w:r>
      <w:r w:rsidR="00C20D97" w:rsidRPr="00C20D97">
        <w:rPr>
          <w:lang w:val="en-US"/>
        </w:rPr>
        <w:t>ntegration</w:t>
      </w:r>
      <w:r w:rsidR="00C20D97">
        <w:rPr>
          <w:lang w:val="en-US"/>
        </w:rPr>
        <w:t>,</w:t>
      </w:r>
      <w:r w:rsidR="0086192F">
        <w:rPr>
          <w:lang w:val="en-US"/>
        </w:rPr>
        <w:t xml:space="preserve"> 2nd edition, Elsevier,</w:t>
      </w:r>
      <w:r w:rsidR="00C20D97">
        <w:rPr>
          <w:lang w:val="en-US"/>
        </w:rPr>
        <w:t xml:space="preserve"> 73-125.</w:t>
      </w:r>
    </w:p>
    <w:p w14:paraId="12E40DAB" w14:textId="781A3A17" w:rsidR="00C20D97" w:rsidRPr="00270E4F" w:rsidRDefault="00C20D97" w:rsidP="006B04F8">
      <w:pPr>
        <w:pStyle w:val="Els-referenceno-number"/>
        <w:spacing w:after="40"/>
        <w:ind w:left="238" w:hanging="238"/>
        <w:rPr>
          <w:lang w:val="pt-BR"/>
        </w:rPr>
      </w:pPr>
      <w:r w:rsidRPr="00270E4F">
        <w:rPr>
          <w:lang w:val="pt-BR"/>
        </w:rPr>
        <w:t>D. Gómez-Ríos, R.</w:t>
      </w:r>
      <w:r w:rsidR="00270E4F" w:rsidRPr="00270E4F">
        <w:rPr>
          <w:lang w:val="pt-BR"/>
        </w:rPr>
        <w:t xml:space="preserve"> Barrera-Zapata, R. Ríos-Estepa.</w:t>
      </w:r>
      <w:r w:rsidRPr="00270E4F">
        <w:rPr>
          <w:lang w:val="pt-BR"/>
        </w:rPr>
        <w:t xml:space="preserve"> </w:t>
      </w:r>
      <w:r w:rsidR="00270E4F">
        <w:rPr>
          <w:lang w:val="en-US"/>
        </w:rPr>
        <w:t>2017.</w:t>
      </w:r>
      <w:r w:rsidRPr="00C20D97">
        <w:rPr>
          <w:lang w:val="en-US"/>
        </w:rPr>
        <w:t xml:space="preserve"> Comparison of pr</w:t>
      </w:r>
      <w:r>
        <w:rPr>
          <w:lang w:val="en-US"/>
        </w:rPr>
        <w:t xml:space="preserve">ocess technologies for chitosan </w:t>
      </w:r>
      <w:r w:rsidRPr="00C20D97">
        <w:rPr>
          <w:lang w:val="en-US"/>
        </w:rPr>
        <w:t>production from shrimp shell waste: A</w:t>
      </w:r>
      <w:r>
        <w:rPr>
          <w:lang w:val="en-US"/>
        </w:rPr>
        <w:t xml:space="preserve"> </w:t>
      </w:r>
      <w:r w:rsidRPr="00C20D97">
        <w:rPr>
          <w:lang w:val="en-US"/>
        </w:rPr>
        <w:t>techno-economic approach using Aspen Plus®</w:t>
      </w:r>
      <w:r w:rsidR="00270E4F">
        <w:rPr>
          <w:lang w:val="en-US"/>
        </w:rPr>
        <w:t>.</w:t>
      </w:r>
      <w:r>
        <w:rPr>
          <w:lang w:val="en-US"/>
        </w:rPr>
        <w:t xml:space="preserve"> </w:t>
      </w:r>
      <w:r w:rsidRPr="00270E4F">
        <w:rPr>
          <w:lang w:val="pt-BR"/>
        </w:rPr>
        <w:t>Food and Bioproducts Processing, 103, 49-57.</w:t>
      </w:r>
    </w:p>
    <w:p w14:paraId="7DF2B781" w14:textId="3BEB08C3" w:rsidR="00C20D97" w:rsidRPr="00C20D97" w:rsidRDefault="00C20D97" w:rsidP="006B04F8">
      <w:pPr>
        <w:pStyle w:val="Els-referenceno-number"/>
        <w:spacing w:after="40"/>
        <w:ind w:left="238" w:hanging="238"/>
        <w:rPr>
          <w:lang w:val="en-US"/>
        </w:rPr>
      </w:pPr>
      <w:r w:rsidRPr="00270E4F">
        <w:rPr>
          <w:lang w:val="pt-BR"/>
        </w:rPr>
        <w:t>D. Gómez-Ríos, G. Navarro, P. Monsalve, R.</w:t>
      </w:r>
      <w:r w:rsidR="00270E4F" w:rsidRPr="00270E4F">
        <w:rPr>
          <w:lang w:val="pt-BR"/>
        </w:rPr>
        <w:t xml:space="preserve"> Barrera-Zapata, R. Ríos-Estepa.</w:t>
      </w:r>
      <w:r w:rsidRPr="00270E4F">
        <w:rPr>
          <w:lang w:val="pt-BR"/>
        </w:rPr>
        <w:t xml:space="preserve"> </w:t>
      </w:r>
      <w:r w:rsidR="00270E4F">
        <w:rPr>
          <w:lang w:val="en-US"/>
        </w:rPr>
        <w:t>2019.</w:t>
      </w:r>
      <w:r w:rsidRPr="00C20D97">
        <w:rPr>
          <w:lang w:val="en-US"/>
        </w:rPr>
        <w:t xml:space="preserve"> Aspen Plus® Simulation Strategies </w:t>
      </w:r>
      <w:r>
        <w:rPr>
          <w:lang w:val="en-US"/>
        </w:rPr>
        <w:t xml:space="preserve">Applied to the Study of Chitin </w:t>
      </w:r>
      <w:r w:rsidRPr="00C20D97">
        <w:rPr>
          <w:lang w:val="en-US"/>
        </w:rPr>
        <w:t>Bioextraction from Shrimp Waste</w:t>
      </w:r>
      <w:r w:rsidR="00270E4F">
        <w:rPr>
          <w:lang w:val="en-US"/>
        </w:rPr>
        <w:t>.</w:t>
      </w:r>
      <w:r>
        <w:rPr>
          <w:lang w:val="en-US"/>
        </w:rPr>
        <w:t xml:space="preserve"> </w:t>
      </w:r>
      <w:r>
        <w:t>Food Technology and Biotechnology, 57, 2, 238-248.</w:t>
      </w:r>
    </w:p>
    <w:p w14:paraId="35453E5A" w14:textId="71FD653B" w:rsidR="00BD3866" w:rsidRDefault="00C20D97" w:rsidP="006B04F8">
      <w:pPr>
        <w:pStyle w:val="Els-referenceno-number"/>
        <w:spacing w:after="40"/>
        <w:ind w:left="238" w:hanging="238"/>
        <w:rPr>
          <w:lang w:val="en-US"/>
        </w:rPr>
      </w:pPr>
      <w:r w:rsidRPr="00C12329">
        <w:rPr>
          <w:lang w:val="pt-BR"/>
        </w:rPr>
        <w:t xml:space="preserve">K. A. </w:t>
      </w:r>
      <w:r w:rsidR="003370CD" w:rsidRPr="00C12329">
        <w:rPr>
          <w:lang w:val="pt-BR"/>
        </w:rPr>
        <w:t>Moreno-Sader</w:t>
      </w:r>
      <w:r w:rsidRPr="00C12329">
        <w:rPr>
          <w:lang w:val="pt-BR"/>
        </w:rPr>
        <w:t>, J. D. Martinez-Co</w:t>
      </w:r>
      <w:r w:rsidR="00270E4F" w:rsidRPr="00C12329">
        <w:rPr>
          <w:lang w:val="pt-BR"/>
        </w:rPr>
        <w:t xml:space="preserve">nsuegra, A. D. González-Delgado. </w:t>
      </w:r>
      <w:r w:rsidR="00270E4F">
        <w:rPr>
          <w:lang w:val="en-US"/>
        </w:rPr>
        <w:t>2021.</w:t>
      </w:r>
      <w:r w:rsidRPr="00C20D97">
        <w:rPr>
          <w:lang w:val="en-US"/>
        </w:rPr>
        <w:t xml:space="preserve"> Development of a biorefinery</w:t>
      </w:r>
      <w:r>
        <w:rPr>
          <w:lang w:val="en-US"/>
        </w:rPr>
        <w:t xml:space="preserve"> approach for shrimp processing </w:t>
      </w:r>
      <w:r w:rsidRPr="00C20D97">
        <w:rPr>
          <w:lang w:val="en-US"/>
        </w:rPr>
        <w:t>in North-Colombia: Process simulation and sustainability</w:t>
      </w:r>
      <w:r>
        <w:rPr>
          <w:lang w:val="en-US"/>
        </w:rPr>
        <w:t xml:space="preserve"> </w:t>
      </w:r>
      <w:r w:rsidRPr="00C20D97">
        <w:rPr>
          <w:lang w:val="en-US"/>
        </w:rPr>
        <w:t>assessment</w:t>
      </w:r>
      <w:r w:rsidR="00270E4F">
        <w:rPr>
          <w:lang w:val="en-US"/>
        </w:rPr>
        <w:t>.</w:t>
      </w:r>
      <w:r>
        <w:rPr>
          <w:lang w:val="en-US"/>
        </w:rPr>
        <w:t xml:space="preserve"> Environmental Technology and</w:t>
      </w:r>
      <w:r w:rsidRPr="00C20D97">
        <w:rPr>
          <w:lang w:val="en-US"/>
        </w:rPr>
        <w:t xml:space="preserve"> Innovation</w:t>
      </w:r>
      <w:r>
        <w:rPr>
          <w:lang w:val="en-US"/>
        </w:rPr>
        <w:t>,</w:t>
      </w:r>
      <w:r w:rsidRPr="00C20D97">
        <w:rPr>
          <w:lang w:val="en-US"/>
        </w:rPr>
        <w:t xml:space="preserve"> 22</w:t>
      </w:r>
      <w:r>
        <w:rPr>
          <w:lang w:val="en-US"/>
        </w:rPr>
        <w:t>,1-14</w:t>
      </w:r>
      <w:r w:rsidR="00BD3866">
        <w:rPr>
          <w:lang w:val="en-US"/>
        </w:rPr>
        <w:t>.</w:t>
      </w:r>
    </w:p>
    <w:p w14:paraId="0DEB445B" w14:textId="5E1A06CD" w:rsidR="00BD3866" w:rsidRPr="00270E4F" w:rsidRDefault="00BD3866" w:rsidP="006B04F8">
      <w:pPr>
        <w:pStyle w:val="Els-referenceno-number"/>
        <w:spacing w:after="40"/>
        <w:ind w:left="238" w:hanging="238"/>
        <w:rPr>
          <w:lang w:val="pt-BR"/>
        </w:rPr>
      </w:pPr>
      <w:r w:rsidRPr="00C12329">
        <w:rPr>
          <w:lang w:val="pt-BR"/>
        </w:rPr>
        <w:t xml:space="preserve">P. </w:t>
      </w:r>
      <w:r w:rsidR="003370CD" w:rsidRPr="00C12329">
        <w:rPr>
          <w:lang w:val="pt-BR"/>
        </w:rPr>
        <w:t>Moura</w:t>
      </w:r>
      <w:r w:rsidRPr="00C12329">
        <w:rPr>
          <w:lang w:val="pt-BR"/>
        </w:rPr>
        <w:t xml:space="preserve">, I. A. Neto, H. Brandão, P. Furtado, L. </w:t>
      </w:r>
      <w:r w:rsidR="00270E4F" w:rsidRPr="00C12329">
        <w:rPr>
          <w:lang w:val="pt-BR"/>
        </w:rPr>
        <w:t>Poersch, W. Wasielesky Jr. 2023.</w:t>
      </w:r>
      <w:r w:rsidRPr="00C12329">
        <w:rPr>
          <w:lang w:val="pt-BR"/>
        </w:rPr>
        <w:t xml:space="preserve"> </w:t>
      </w:r>
      <w:r w:rsidRPr="00BD3866">
        <w:rPr>
          <w:lang w:val="en-US"/>
        </w:rPr>
        <w:t>Effects of magnesium reduction in artificial low-salinity water on the growth of Pacific white shrimp Litopenaeus vannamei in a biofloc system</w:t>
      </w:r>
      <w:r w:rsidR="00270E4F">
        <w:rPr>
          <w:lang w:val="en-US"/>
        </w:rPr>
        <w:t>.</w:t>
      </w:r>
      <w:r>
        <w:rPr>
          <w:lang w:val="en-US"/>
        </w:rPr>
        <w:t xml:space="preserve"> </w:t>
      </w:r>
      <w:r w:rsidRPr="00270E4F">
        <w:rPr>
          <w:lang w:val="pt-BR"/>
        </w:rPr>
        <w:t>Aquaculture, 577, 1-9.</w:t>
      </w:r>
    </w:p>
    <w:p w14:paraId="4F029AA4" w14:textId="04F4D009" w:rsidR="00C20D97" w:rsidRPr="00BD3866" w:rsidRDefault="00C20D97" w:rsidP="006B04F8">
      <w:pPr>
        <w:pStyle w:val="Els-referenceno-number"/>
        <w:spacing w:after="40"/>
        <w:ind w:left="238" w:hanging="238"/>
        <w:rPr>
          <w:lang w:val="en-US"/>
        </w:rPr>
      </w:pPr>
      <w:r w:rsidRPr="00270E4F">
        <w:rPr>
          <w:lang w:val="pt-BR"/>
        </w:rPr>
        <w:t>F.</w:t>
      </w:r>
      <w:r w:rsidR="00BD3866" w:rsidRPr="00270E4F">
        <w:rPr>
          <w:lang w:val="pt-BR"/>
        </w:rPr>
        <w:t xml:space="preserve"> </w:t>
      </w:r>
      <w:r w:rsidRPr="00270E4F">
        <w:rPr>
          <w:lang w:val="pt-BR"/>
        </w:rPr>
        <w:t xml:space="preserve">L. Muñoz, S. Meramo, L. Ricardez-Sandoval, A. D. Gonzalez, B. C. Castillo, A. G. Quiroga, B. L. </w:t>
      </w:r>
      <w:r w:rsidR="00270E4F" w:rsidRPr="00270E4F">
        <w:rPr>
          <w:lang w:val="pt-BR"/>
        </w:rPr>
        <w:t>G. Baptiste, J. León-Pulido.</w:t>
      </w:r>
      <w:r w:rsidRPr="00270E4F">
        <w:rPr>
          <w:lang w:val="pt-BR"/>
        </w:rPr>
        <w:t xml:space="preserve"> </w:t>
      </w:r>
      <w:r w:rsidR="00270E4F">
        <w:rPr>
          <w:lang w:val="en-US"/>
        </w:rPr>
        <w:t>2023.</w:t>
      </w:r>
      <w:r w:rsidRPr="00C20D97">
        <w:rPr>
          <w:lang w:val="en-US"/>
        </w:rPr>
        <w:t xml:space="preserve"> Insights from</w:t>
      </w:r>
      <w:r>
        <w:rPr>
          <w:lang w:val="en-US"/>
        </w:rPr>
        <w:t xml:space="preserve"> an exergy analysis of a green </w:t>
      </w:r>
      <w:r w:rsidRPr="00C20D97">
        <w:rPr>
          <w:lang w:val="en-US"/>
        </w:rPr>
        <w:t>chemistry chitosan biorefinery</w:t>
      </w:r>
      <w:r w:rsidR="00270E4F">
        <w:rPr>
          <w:lang w:val="en-US"/>
        </w:rPr>
        <w:t>.</w:t>
      </w:r>
      <w:r>
        <w:rPr>
          <w:lang w:val="en-US"/>
        </w:rPr>
        <w:t xml:space="preserve"> </w:t>
      </w:r>
      <w:r w:rsidRPr="00C20D97">
        <w:rPr>
          <w:lang w:val="en-US"/>
        </w:rPr>
        <w:t>Chemical Engineering Research and Design</w:t>
      </w:r>
      <w:r>
        <w:rPr>
          <w:lang w:val="en-US"/>
        </w:rPr>
        <w:t>, 194, 666-677.</w:t>
      </w:r>
    </w:p>
    <w:p w14:paraId="3FD79084" w14:textId="1936C312" w:rsidR="00C20D97" w:rsidRDefault="00C20D97" w:rsidP="006B04F8">
      <w:pPr>
        <w:pStyle w:val="Els-referenceno-number"/>
        <w:spacing w:after="40"/>
        <w:ind w:left="238" w:hanging="238"/>
      </w:pPr>
      <w:r w:rsidRPr="00270E4F">
        <w:rPr>
          <w:lang w:val="pt-BR"/>
        </w:rPr>
        <w:t>A. Verardi, P. Sangiorgio, S. Moliterni, S. Errico, A.</w:t>
      </w:r>
      <w:r w:rsidR="00270E4F" w:rsidRPr="00270E4F">
        <w:rPr>
          <w:lang w:val="pt-BR"/>
        </w:rPr>
        <w:t xml:space="preserve"> Spagnoletta, S. Dimatteo. </w:t>
      </w:r>
      <w:r w:rsidR="00270E4F">
        <w:rPr>
          <w:lang w:val="en-US"/>
        </w:rPr>
        <w:t>2023.</w:t>
      </w:r>
      <w:r w:rsidRPr="00C20D97">
        <w:rPr>
          <w:lang w:val="en-US"/>
        </w:rPr>
        <w:t xml:space="preserve"> </w:t>
      </w:r>
      <w:r w:rsidR="00270E4F">
        <w:t>Advanced technologies for chitin recovery from crustacean waste</w:t>
      </w:r>
      <w:r w:rsidR="00270E4F">
        <w:t xml:space="preserve">. </w:t>
      </w:r>
      <w:r>
        <w:t xml:space="preserve">Clean Technologies and Recycling, 3, </w:t>
      </w:r>
      <w:r w:rsidR="00D2427A">
        <w:t>1, 4-</w:t>
      </w:r>
      <w:r>
        <w:t>43.</w:t>
      </w:r>
    </w:p>
    <w:p w14:paraId="4EF88F32" w14:textId="2B3462F6" w:rsidR="00B52392" w:rsidRDefault="00B52392" w:rsidP="00B52392">
      <w:pPr>
        <w:pStyle w:val="Els-referenceno-number"/>
        <w:spacing w:after="40"/>
        <w:ind w:left="238" w:hanging="238"/>
      </w:pPr>
      <w:r>
        <w:t>R. Turton, R. Bailie, W. Whiting,</w:t>
      </w:r>
      <w:r w:rsidR="00270E4F">
        <w:t xml:space="preserve"> J. Shaeiwitz, D. Bhattacharyya. 2018.</w:t>
      </w:r>
      <w:r>
        <w:t xml:space="preserve"> Analysis, Synthesis, and Design of Chemical Processes, 4th edition, Pearson, 212-213.</w:t>
      </w:r>
    </w:p>
    <w:p w14:paraId="730EC89C" w14:textId="0D94E508" w:rsidR="00C20D97" w:rsidRPr="00B52392" w:rsidRDefault="00C20D97" w:rsidP="00B52392">
      <w:pPr>
        <w:pStyle w:val="Els-referenceno-number"/>
        <w:spacing w:after="40"/>
        <w:ind w:left="238" w:hanging="238"/>
      </w:pPr>
      <w:r w:rsidRPr="00270E4F">
        <w:rPr>
          <w:lang w:val="pt-BR"/>
        </w:rPr>
        <w:t>N. V. Veríssimo, C. U. Mussagy, A. A. Oshiro, C. M. N. Mendonça, V. C. Santos-Ebinuma, A. P. Júnior, R. P</w:t>
      </w:r>
      <w:r w:rsidR="00270E4F" w:rsidRPr="00270E4F">
        <w:rPr>
          <w:lang w:val="pt-BR"/>
        </w:rPr>
        <w:t>. S. Oliveira, J. F. B. Pereira.</w:t>
      </w:r>
      <w:r w:rsidRPr="00270E4F">
        <w:rPr>
          <w:lang w:val="pt-BR"/>
        </w:rPr>
        <w:t xml:space="preserve"> </w:t>
      </w:r>
      <w:r w:rsidR="00270E4F">
        <w:rPr>
          <w:lang w:val="en-US"/>
        </w:rPr>
        <w:t xml:space="preserve">2021. </w:t>
      </w:r>
      <w:r w:rsidRPr="00324DD3">
        <w:rPr>
          <w:lang w:val="en-US"/>
        </w:rPr>
        <w:t>From green to blue economy: Marine biorefineries for a s</w:t>
      </w:r>
      <w:r w:rsidR="00270E4F">
        <w:rPr>
          <w:lang w:val="en-US"/>
        </w:rPr>
        <w:t xml:space="preserve">ustainable ocean-based economy. </w:t>
      </w:r>
      <w:r w:rsidRPr="00324DD3">
        <w:rPr>
          <w:lang w:val="en-US"/>
        </w:rPr>
        <w:t>Green Chemistry</w:t>
      </w:r>
      <w:r w:rsidR="00D2427A">
        <w:rPr>
          <w:lang w:val="en-US"/>
        </w:rPr>
        <w:t>, 23, 9377-</w:t>
      </w:r>
      <w:r w:rsidRPr="00324DD3">
        <w:rPr>
          <w:lang w:val="en-US"/>
        </w:rPr>
        <w:t>9400.</w:t>
      </w:r>
    </w:p>
    <w:p w14:paraId="1CC6E6A4" w14:textId="1BBB93F6" w:rsidR="00C20D97" w:rsidRDefault="00C20D97" w:rsidP="006B04F8">
      <w:pPr>
        <w:pStyle w:val="Els-referenceno-number"/>
        <w:spacing w:after="40"/>
        <w:ind w:left="238" w:hanging="238"/>
        <w:rPr>
          <w:rFonts w:ascii="Roboto" w:hAnsi="Roboto"/>
          <w:color w:val="000000"/>
          <w:shd w:val="clear" w:color="auto" w:fill="FFFFFF"/>
        </w:rPr>
      </w:pPr>
      <w:r>
        <w:t>H. Yang, G. Gözaydın, R. R. Nasaruddin, J. R. G</w:t>
      </w:r>
      <w:r w:rsidR="00270E4F">
        <w:t>. Har, X. Chen, X. Wang, N. Yan. 2019.</w:t>
      </w:r>
      <w:r>
        <w:t xml:space="preserve"> Toward the Shell Biorefinery: Processing Crustacean Shell Waste Using Hot Water and </w:t>
      </w:r>
      <w:r w:rsidR="00270E4F">
        <w:t>Carbonic Acid.</w:t>
      </w:r>
      <w:r>
        <w:t xml:space="preserve"> </w:t>
      </w:r>
      <w:r w:rsidR="00C16318">
        <w:rPr>
          <w:rStyle w:val="CitaoHTML"/>
          <w:rFonts w:ascii="Roboto" w:hAnsi="Roboto"/>
          <w:i w:val="0"/>
          <w:color w:val="000000"/>
          <w:shd w:val="clear" w:color="auto" w:fill="FFFFFF"/>
        </w:rPr>
        <w:t>ACS Sustainable Chemistry and</w:t>
      </w:r>
      <w:r w:rsidR="00C16318" w:rsidRPr="00C16318">
        <w:rPr>
          <w:rStyle w:val="CitaoHTML"/>
          <w:rFonts w:ascii="Roboto" w:hAnsi="Roboto"/>
          <w:i w:val="0"/>
          <w:color w:val="000000"/>
          <w:shd w:val="clear" w:color="auto" w:fill="FFFFFF"/>
        </w:rPr>
        <w:t xml:space="preserve"> Engineering</w:t>
      </w:r>
      <w:r w:rsidR="00C16318">
        <w:rPr>
          <w:rFonts w:ascii="Roboto" w:hAnsi="Roboto"/>
          <w:color w:val="000000"/>
          <w:shd w:val="clear" w:color="auto" w:fill="FFFFFF"/>
        </w:rPr>
        <w:t>,</w:t>
      </w:r>
      <w:r w:rsidR="00C16318" w:rsidRPr="00C16318">
        <w:rPr>
          <w:rFonts w:ascii="Roboto" w:hAnsi="Roboto"/>
          <w:i/>
          <w:color w:val="000000"/>
          <w:shd w:val="clear" w:color="auto" w:fill="FFFFFF"/>
        </w:rPr>
        <w:t> </w:t>
      </w:r>
      <w:r w:rsidR="00C16318" w:rsidRPr="00C16318">
        <w:rPr>
          <w:rStyle w:val="nfase"/>
          <w:rFonts w:ascii="Roboto" w:hAnsi="Roboto"/>
          <w:i w:val="0"/>
          <w:color w:val="000000"/>
          <w:shd w:val="clear" w:color="auto" w:fill="FFFFFF"/>
        </w:rPr>
        <w:t>7</w:t>
      </w:r>
      <w:r w:rsidR="00C16318">
        <w:rPr>
          <w:rFonts w:ascii="Roboto" w:hAnsi="Roboto"/>
          <w:color w:val="000000"/>
          <w:shd w:val="clear" w:color="auto" w:fill="FFFFFF"/>
        </w:rPr>
        <w:t xml:space="preserve">, </w:t>
      </w:r>
      <w:r w:rsidR="00C16318" w:rsidRPr="00C16318">
        <w:rPr>
          <w:rFonts w:ascii="Roboto" w:hAnsi="Roboto"/>
          <w:color w:val="000000"/>
          <w:shd w:val="clear" w:color="auto" w:fill="FFFFFF"/>
        </w:rPr>
        <w:t>5, 5532-5542</w:t>
      </w:r>
      <w:r w:rsidR="00C16318">
        <w:rPr>
          <w:rFonts w:ascii="Roboto" w:hAnsi="Roboto"/>
          <w:color w:val="000000"/>
          <w:shd w:val="clear" w:color="auto" w:fill="FFFFFF"/>
        </w:rPr>
        <w:t>.</w:t>
      </w:r>
    </w:p>
    <w:p w14:paraId="144DE6C3" w14:textId="09C2BE48" w:rsidR="008D2649" w:rsidRPr="00C16318" w:rsidRDefault="00C16318" w:rsidP="006D3E68">
      <w:pPr>
        <w:pStyle w:val="Els-referenceno-number"/>
        <w:spacing w:after="40"/>
        <w:ind w:left="238" w:hanging="238"/>
        <w:rPr>
          <w:lang w:val="en-US"/>
        </w:rPr>
      </w:pPr>
      <w:r w:rsidRPr="00C16318">
        <w:rPr>
          <w:lang w:val="en-US"/>
        </w:rPr>
        <w:t>A. Zuorro, K. A. Moren</w:t>
      </w:r>
      <w:r w:rsidR="00270E4F">
        <w:rPr>
          <w:lang w:val="en-US"/>
        </w:rPr>
        <w:t>o-Sader, A. D. Gonzalez-Delgado.</w:t>
      </w:r>
      <w:r w:rsidRPr="00C16318">
        <w:rPr>
          <w:lang w:val="en-US"/>
        </w:rPr>
        <w:t xml:space="preserve"> </w:t>
      </w:r>
      <w:r w:rsidR="00270E4F">
        <w:rPr>
          <w:lang w:val="en-US"/>
        </w:rPr>
        <w:t>2021.</w:t>
      </w:r>
      <w:r>
        <w:rPr>
          <w:lang w:val="en-US"/>
        </w:rPr>
        <w:t xml:space="preserve"> </w:t>
      </w:r>
      <w:r>
        <w:t>Evaluating the feasibility of a pilot-scale shrimp biorefine</w:t>
      </w:r>
      <w:r w:rsidR="00270E4F">
        <w:t>ry via techno-economic analysis.</w:t>
      </w:r>
      <w:r>
        <w:t xml:space="preserve"> </w:t>
      </w:r>
      <w:r w:rsidRPr="00C16318">
        <w:rPr>
          <w:lang w:val="en-US"/>
        </w:rPr>
        <w:t>Journal of Cleaner Production</w:t>
      </w:r>
      <w:r w:rsidR="006D3E68">
        <w:rPr>
          <w:lang w:val="en-US"/>
        </w:rPr>
        <w:t>, 320, 1-11</w:t>
      </w:r>
      <w:r w:rsidR="00270E4F">
        <w:rPr>
          <w:lang w:val="en-US"/>
        </w:rPr>
        <w:t>.</w:t>
      </w:r>
    </w:p>
    <w:sectPr w:rsidR="008D2649" w:rsidRPr="00C16318" w:rsidSect="00BF4BC2">
      <w:headerReference w:type="even" r:id="rId9"/>
      <w:headerReference w:type="default" r:id="rId10"/>
      <w:headerReference w:type="first" r:id="rId11"/>
      <w:type w:val="continuous"/>
      <w:pgSz w:w="11906" w:h="16838" w:code="9"/>
      <w:pgMar w:top="2377" w:right="2410" w:bottom="2410" w:left="2268" w:header="1701" w:footer="2892" w:gutter="0"/>
      <w:cols w:space="720" w:equalWidth="0">
        <w:col w:w="7087"/>
      </w:cols>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7507FB6" w16cex:dateUtc="2023-11-27T12:38:00Z"/>
  <w16cex:commentExtensible w16cex:durableId="5CAAD377" w16cex:dateUtc="2023-11-27T12:15:00Z"/>
  <w16cex:commentExtensible w16cex:durableId="0D43B529" w16cex:dateUtc="2023-11-27T12:22:00Z"/>
  <w16cex:commentExtensible w16cex:durableId="178F1F11" w16cex:dateUtc="2023-11-27T12:25:00Z"/>
  <w16cex:commentExtensible w16cex:durableId="61AC40E6" w16cex:dateUtc="2023-11-27T12:24:00Z"/>
  <w16cex:commentExtensible w16cex:durableId="585F9B80" w16cex:dateUtc="2023-11-27T12:17:00Z"/>
  <w16cex:commentExtensible w16cex:durableId="27BBEC6D" w16cex:dateUtc="2023-11-27T12:27:00Z"/>
  <w16cex:commentExtensible w16cex:durableId="540591AD" w16cex:dateUtc="2023-11-27T12:27:00Z"/>
  <w16cex:commentExtensible w16cex:durableId="0C4307F3" w16cex:dateUtc="2023-11-27T12:20:00Z"/>
  <w16cex:commentExtensible w16cex:durableId="0550263A" w16cex:dateUtc="2023-11-27T12:31:00Z"/>
  <w16cex:commentExtensible w16cex:durableId="2378999C" w16cex:dateUtc="2023-11-27T12:32:00Z"/>
  <w16cex:commentExtensible w16cex:durableId="5BCC6B3F" w16cex:dateUtc="2023-11-27T12:32:00Z"/>
  <w16cex:commentExtensible w16cex:durableId="4C09D248" w16cex:dateUtc="2023-11-23T00:13:00Z"/>
  <w16cex:commentExtensible w16cex:durableId="770E7FA7" w16cex:dateUtc="2023-11-27T12:35:00Z"/>
  <w16cex:commentExtensible w16cex:durableId="68437DD2" w16cex:dateUtc="2023-11-27T12:37:00Z"/>
  <w16cex:commentExtensible w16cex:durableId="4FD5717E" w16cex:dateUtc="2023-11-23T0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224017" w16cid:durableId="37507FB6"/>
  <w16cid:commentId w16cid:paraId="05B64A3B" w16cid:durableId="5CAAD377"/>
  <w16cid:commentId w16cid:paraId="515BF8A5" w16cid:durableId="0D43B529"/>
  <w16cid:commentId w16cid:paraId="43692F08" w16cid:durableId="178F1F11"/>
  <w16cid:commentId w16cid:paraId="56E7CF6C" w16cid:durableId="61AC40E6"/>
  <w16cid:commentId w16cid:paraId="46167045" w16cid:durableId="585F9B80"/>
  <w16cid:commentId w16cid:paraId="1112B126" w16cid:durableId="27BBEC6D"/>
  <w16cid:commentId w16cid:paraId="180384EC" w16cid:durableId="540591AD"/>
  <w16cid:commentId w16cid:paraId="7FED4033" w16cid:durableId="0C4307F3"/>
  <w16cid:commentId w16cid:paraId="2E95EFF0" w16cid:durableId="0550263A"/>
  <w16cid:commentId w16cid:paraId="7EFDD677" w16cid:durableId="2378999C"/>
  <w16cid:commentId w16cid:paraId="2EB68167" w16cid:durableId="5BCC6B3F"/>
  <w16cid:commentId w16cid:paraId="453E076F" w16cid:durableId="4C09D248"/>
  <w16cid:commentId w16cid:paraId="3303D9DE" w16cid:durableId="770E7FA7"/>
  <w16cid:commentId w16cid:paraId="27BC43D8" w16cid:durableId="68437DD2"/>
  <w16cid:commentId w16cid:paraId="19A16FCE" w16cid:durableId="4FD571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E87D5" w14:textId="77777777" w:rsidR="002D05E9" w:rsidRDefault="002D05E9">
      <w:r>
        <w:separator/>
      </w:r>
    </w:p>
  </w:endnote>
  <w:endnote w:type="continuationSeparator" w:id="0">
    <w:p w14:paraId="69ADCE67" w14:textId="77777777" w:rsidR="002D05E9" w:rsidRDefault="002D0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rdo">
    <w:charset w:val="00"/>
    <w:family w:val="auto"/>
    <w:pitch w:val="default"/>
  </w:font>
  <w:font w:name="Cambria Math">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62D88" w14:textId="77777777" w:rsidR="002D05E9" w:rsidRDefault="002D05E9">
      <w:r>
        <w:separator/>
      </w:r>
    </w:p>
  </w:footnote>
  <w:footnote w:type="continuationSeparator" w:id="0">
    <w:p w14:paraId="6451BCFD" w14:textId="77777777" w:rsidR="002D05E9" w:rsidRDefault="002D0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DE6C9" w14:textId="4C453663" w:rsidR="00DD3D9E" w:rsidRPr="00C12329" w:rsidRDefault="00DD3D9E">
    <w:pPr>
      <w:pStyle w:val="Cabealho"/>
      <w:tabs>
        <w:tab w:val="clear" w:pos="7200"/>
        <w:tab w:val="right" w:pos="7088"/>
      </w:tabs>
      <w:rPr>
        <w:lang w:val="pt-BR"/>
      </w:rPr>
    </w:pPr>
    <w:r>
      <w:rPr>
        <w:rStyle w:val="Nmerodepgina"/>
      </w:rPr>
      <w:tab/>
    </w:r>
    <w:r>
      <w:rPr>
        <w:rStyle w:val="Nmerodepgina"/>
        <w:i/>
      </w:rPr>
      <w:tab/>
    </w:r>
    <w:r w:rsidR="00251137" w:rsidRPr="00C12329">
      <w:rPr>
        <w:rStyle w:val="Nmerodepgina"/>
        <w:i/>
        <w:lang w:val="pt-BR"/>
      </w:rPr>
      <w:t>A.</w:t>
    </w:r>
    <w:r w:rsidR="00C12329">
      <w:rPr>
        <w:rStyle w:val="Nmerodepgina"/>
        <w:i/>
        <w:lang w:val="pt-BR"/>
      </w:rPr>
      <w:t>C.</w:t>
    </w:r>
    <w:r w:rsidR="00C12329" w:rsidRPr="00C12329">
      <w:rPr>
        <w:rStyle w:val="Nmerodepgina"/>
        <w:i/>
        <w:lang w:val="pt-BR"/>
      </w:rPr>
      <w:t>M.</w:t>
    </w:r>
    <w:r w:rsidR="00251137" w:rsidRPr="00C12329">
      <w:rPr>
        <w:rStyle w:val="Nmerodepgina"/>
        <w:i/>
        <w:lang w:val="pt-BR"/>
      </w:rPr>
      <w:t xml:space="preserve"> Fonseca et 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DE6CA" w14:textId="311244EB" w:rsidR="00DD3D9E" w:rsidRDefault="00251137" w:rsidP="009D5360">
    <w:pPr>
      <w:pStyle w:val="Cabealho"/>
      <w:tabs>
        <w:tab w:val="clear" w:pos="3600"/>
        <w:tab w:val="clear" w:pos="7200"/>
        <w:tab w:val="center" w:pos="4395"/>
        <w:tab w:val="right" w:pos="7088"/>
      </w:tabs>
      <w:rPr>
        <w:sz w:val="24"/>
      </w:rPr>
    </w:pPr>
    <w:r w:rsidRPr="00251137">
      <w:rPr>
        <w:i/>
      </w:rPr>
      <w:t>Assessment of the Economic Viability of a Biorefinery for Processing Shrimp Farming Waste Integrated Through Material Reuse Networks</w:t>
    </w:r>
    <w:r w:rsidR="00DD3D9E">
      <w:rPr>
        <w:rStyle w:val="Nmerodepgina"/>
        <w:i/>
        <w:sz w:val="24"/>
      </w:rPr>
      <w:tab/>
    </w:r>
    <w:r w:rsidR="00DD3D9E">
      <w:rPr>
        <w:rStyle w:val="Nmerodepgina"/>
        <w:sz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079C0F8D"/>
    <w:multiLevelType w:val="multilevel"/>
    <w:tmpl w:val="81003B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992"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6BC53D46"/>
    <w:multiLevelType w:val="multilevel"/>
    <w:tmpl w:val="C75474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6"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8B04845"/>
    <w:multiLevelType w:val="multilevel"/>
    <w:tmpl w:val="8BF22446"/>
    <w:lvl w:ilvl="0">
      <w:start w:val="2"/>
      <w:numFmt w:val="decimal"/>
      <w:lvlText w:val="%1"/>
      <w:lvlJc w:val="left"/>
      <w:pPr>
        <w:ind w:left="400" w:hanging="400"/>
      </w:pPr>
      <w:rPr>
        <w:rFonts w:hint="default"/>
        <w:i w:val="0"/>
      </w:rPr>
    </w:lvl>
    <w:lvl w:ilvl="1">
      <w:start w:val="1"/>
      <w:numFmt w:val="decimal"/>
      <w:lvlText w:val="%1.%2"/>
      <w:lvlJc w:val="left"/>
      <w:pPr>
        <w:ind w:left="400" w:hanging="400"/>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num w:numId="1">
    <w:abstractNumId w:val="12"/>
  </w:num>
  <w:num w:numId="2">
    <w:abstractNumId w:val="12"/>
  </w:num>
  <w:num w:numId="3">
    <w:abstractNumId w:val="12"/>
  </w:num>
  <w:num w:numId="4">
    <w:abstractNumId w:val="12"/>
  </w:num>
  <w:num w:numId="5">
    <w:abstractNumId w:val="0"/>
  </w:num>
  <w:num w:numId="6">
    <w:abstractNumId w:val="7"/>
  </w:num>
  <w:num w:numId="7">
    <w:abstractNumId w:val="13"/>
  </w:num>
  <w:num w:numId="8">
    <w:abstractNumId w:val="2"/>
  </w:num>
  <w:num w:numId="9">
    <w:abstractNumId w:val="11"/>
  </w:num>
  <w:num w:numId="10">
    <w:abstractNumId w:val="16"/>
  </w:num>
  <w:num w:numId="11">
    <w:abstractNumId w:val="15"/>
  </w:num>
  <w:num w:numId="12">
    <w:abstractNumId w:val="6"/>
  </w:num>
  <w:num w:numId="13">
    <w:abstractNumId w:val="9"/>
  </w:num>
  <w:num w:numId="14">
    <w:abstractNumId w:val="3"/>
  </w:num>
  <w:num w:numId="15">
    <w:abstractNumId w:val="8"/>
  </w:num>
  <w:num w:numId="16">
    <w:abstractNumId w:val="4"/>
  </w:num>
  <w:num w:numId="17">
    <w:abstractNumId w:val="5"/>
  </w:num>
  <w:num w:numId="18">
    <w:abstractNumId w:val="10"/>
  </w:num>
  <w:num w:numId="19">
    <w:abstractNumId w:val="1"/>
  </w:num>
  <w:num w:numId="20">
    <w:abstractNumId w:val="1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37"/>
    <w:rsid w:val="00003215"/>
    <w:rsid w:val="00011038"/>
    <w:rsid w:val="00014926"/>
    <w:rsid w:val="000171D4"/>
    <w:rsid w:val="00021CDF"/>
    <w:rsid w:val="00023F16"/>
    <w:rsid w:val="000272BC"/>
    <w:rsid w:val="000328E2"/>
    <w:rsid w:val="00037E9A"/>
    <w:rsid w:val="00055BCF"/>
    <w:rsid w:val="000C45C9"/>
    <w:rsid w:val="000D3D9B"/>
    <w:rsid w:val="001173C6"/>
    <w:rsid w:val="001368F5"/>
    <w:rsid w:val="00155AB4"/>
    <w:rsid w:val="0016032F"/>
    <w:rsid w:val="001879F6"/>
    <w:rsid w:val="001C0148"/>
    <w:rsid w:val="001C757E"/>
    <w:rsid w:val="001E424F"/>
    <w:rsid w:val="001E69CD"/>
    <w:rsid w:val="001F369E"/>
    <w:rsid w:val="0020390F"/>
    <w:rsid w:val="00206F27"/>
    <w:rsid w:val="002101F7"/>
    <w:rsid w:val="00214BAB"/>
    <w:rsid w:val="00214DF3"/>
    <w:rsid w:val="00222F10"/>
    <w:rsid w:val="00231504"/>
    <w:rsid w:val="00234D65"/>
    <w:rsid w:val="00251137"/>
    <w:rsid w:val="00254196"/>
    <w:rsid w:val="00264926"/>
    <w:rsid w:val="0027024C"/>
    <w:rsid w:val="00270E4F"/>
    <w:rsid w:val="002763B9"/>
    <w:rsid w:val="00280338"/>
    <w:rsid w:val="00285CC4"/>
    <w:rsid w:val="002947FB"/>
    <w:rsid w:val="002D05E9"/>
    <w:rsid w:val="002D32B6"/>
    <w:rsid w:val="002F31D9"/>
    <w:rsid w:val="00323186"/>
    <w:rsid w:val="00324DD3"/>
    <w:rsid w:val="003370CD"/>
    <w:rsid w:val="00343438"/>
    <w:rsid w:val="00351D08"/>
    <w:rsid w:val="00356D1C"/>
    <w:rsid w:val="0035771F"/>
    <w:rsid w:val="00363FD6"/>
    <w:rsid w:val="0037516C"/>
    <w:rsid w:val="003A39BA"/>
    <w:rsid w:val="003A590D"/>
    <w:rsid w:val="003D1582"/>
    <w:rsid w:val="003D36A3"/>
    <w:rsid w:val="003D7E4C"/>
    <w:rsid w:val="003E41C2"/>
    <w:rsid w:val="003F4327"/>
    <w:rsid w:val="00444F56"/>
    <w:rsid w:val="004623AB"/>
    <w:rsid w:val="0048428B"/>
    <w:rsid w:val="0049772C"/>
    <w:rsid w:val="004B4486"/>
    <w:rsid w:val="004B5635"/>
    <w:rsid w:val="004F6FD6"/>
    <w:rsid w:val="00537CB8"/>
    <w:rsid w:val="00552EEB"/>
    <w:rsid w:val="00562EB0"/>
    <w:rsid w:val="00573AF5"/>
    <w:rsid w:val="00581221"/>
    <w:rsid w:val="00591268"/>
    <w:rsid w:val="005B1864"/>
    <w:rsid w:val="005C1DE8"/>
    <w:rsid w:val="005D3C98"/>
    <w:rsid w:val="00656A8B"/>
    <w:rsid w:val="0067432D"/>
    <w:rsid w:val="00695094"/>
    <w:rsid w:val="006A69BF"/>
    <w:rsid w:val="006B04F8"/>
    <w:rsid w:val="006B3126"/>
    <w:rsid w:val="006C2D0D"/>
    <w:rsid w:val="006C5055"/>
    <w:rsid w:val="006D3E68"/>
    <w:rsid w:val="006E19B2"/>
    <w:rsid w:val="00701014"/>
    <w:rsid w:val="00707F4A"/>
    <w:rsid w:val="00711DF4"/>
    <w:rsid w:val="00712BB2"/>
    <w:rsid w:val="00730233"/>
    <w:rsid w:val="00747CC2"/>
    <w:rsid w:val="00770638"/>
    <w:rsid w:val="00794B66"/>
    <w:rsid w:val="007A0C0F"/>
    <w:rsid w:val="007D70A1"/>
    <w:rsid w:val="007E324F"/>
    <w:rsid w:val="00805658"/>
    <w:rsid w:val="008132E8"/>
    <w:rsid w:val="00823407"/>
    <w:rsid w:val="008324D1"/>
    <w:rsid w:val="008477B9"/>
    <w:rsid w:val="00855013"/>
    <w:rsid w:val="0086192F"/>
    <w:rsid w:val="00863167"/>
    <w:rsid w:val="00875B64"/>
    <w:rsid w:val="00894724"/>
    <w:rsid w:val="008B0184"/>
    <w:rsid w:val="008C5D02"/>
    <w:rsid w:val="008D2649"/>
    <w:rsid w:val="008D3DDB"/>
    <w:rsid w:val="008E2F2C"/>
    <w:rsid w:val="009029D1"/>
    <w:rsid w:val="0090568D"/>
    <w:rsid w:val="009125C9"/>
    <w:rsid w:val="00913879"/>
    <w:rsid w:val="00917661"/>
    <w:rsid w:val="00935EC9"/>
    <w:rsid w:val="00946192"/>
    <w:rsid w:val="009506C2"/>
    <w:rsid w:val="00970E5D"/>
    <w:rsid w:val="0097701C"/>
    <w:rsid w:val="00980A65"/>
    <w:rsid w:val="009A4C6E"/>
    <w:rsid w:val="009B6868"/>
    <w:rsid w:val="009D5360"/>
    <w:rsid w:val="009E14F6"/>
    <w:rsid w:val="009E2245"/>
    <w:rsid w:val="009F16DF"/>
    <w:rsid w:val="00A01472"/>
    <w:rsid w:val="00A01FC3"/>
    <w:rsid w:val="00A03565"/>
    <w:rsid w:val="00A11A89"/>
    <w:rsid w:val="00A1270D"/>
    <w:rsid w:val="00A25E70"/>
    <w:rsid w:val="00A25EFF"/>
    <w:rsid w:val="00A33765"/>
    <w:rsid w:val="00A41BF8"/>
    <w:rsid w:val="00A5555C"/>
    <w:rsid w:val="00A56DF2"/>
    <w:rsid w:val="00A63269"/>
    <w:rsid w:val="00A92377"/>
    <w:rsid w:val="00A936A6"/>
    <w:rsid w:val="00AB096D"/>
    <w:rsid w:val="00AB1B02"/>
    <w:rsid w:val="00AB29ED"/>
    <w:rsid w:val="00AC01B5"/>
    <w:rsid w:val="00AC70D8"/>
    <w:rsid w:val="00AC7DDC"/>
    <w:rsid w:val="00AE1F0D"/>
    <w:rsid w:val="00AE4BD8"/>
    <w:rsid w:val="00AF209D"/>
    <w:rsid w:val="00B05436"/>
    <w:rsid w:val="00B20BAF"/>
    <w:rsid w:val="00B4388F"/>
    <w:rsid w:val="00B52392"/>
    <w:rsid w:val="00B63237"/>
    <w:rsid w:val="00B66C1D"/>
    <w:rsid w:val="00B7010F"/>
    <w:rsid w:val="00B73A68"/>
    <w:rsid w:val="00B86E82"/>
    <w:rsid w:val="00BD3866"/>
    <w:rsid w:val="00BF4BC2"/>
    <w:rsid w:val="00C11A72"/>
    <w:rsid w:val="00C12329"/>
    <w:rsid w:val="00C16318"/>
    <w:rsid w:val="00C20D97"/>
    <w:rsid w:val="00C32604"/>
    <w:rsid w:val="00C60BC5"/>
    <w:rsid w:val="00C75789"/>
    <w:rsid w:val="00C86895"/>
    <w:rsid w:val="00C87D75"/>
    <w:rsid w:val="00C92D62"/>
    <w:rsid w:val="00C95CEA"/>
    <w:rsid w:val="00C960DC"/>
    <w:rsid w:val="00CA3FB4"/>
    <w:rsid w:val="00CB0C24"/>
    <w:rsid w:val="00CC4FF8"/>
    <w:rsid w:val="00CE25A0"/>
    <w:rsid w:val="00CE7BAE"/>
    <w:rsid w:val="00D02C75"/>
    <w:rsid w:val="00D03C32"/>
    <w:rsid w:val="00D03EDF"/>
    <w:rsid w:val="00D10E22"/>
    <w:rsid w:val="00D10E3F"/>
    <w:rsid w:val="00D13D2C"/>
    <w:rsid w:val="00D2427A"/>
    <w:rsid w:val="00D5564F"/>
    <w:rsid w:val="00D66A1A"/>
    <w:rsid w:val="00D77355"/>
    <w:rsid w:val="00DB30B0"/>
    <w:rsid w:val="00DC2F94"/>
    <w:rsid w:val="00DC79FB"/>
    <w:rsid w:val="00DD3D9E"/>
    <w:rsid w:val="00DD62DB"/>
    <w:rsid w:val="00DD7908"/>
    <w:rsid w:val="00DF11BD"/>
    <w:rsid w:val="00E11E29"/>
    <w:rsid w:val="00E22F05"/>
    <w:rsid w:val="00E3351F"/>
    <w:rsid w:val="00E36E35"/>
    <w:rsid w:val="00E437B6"/>
    <w:rsid w:val="00E57C8F"/>
    <w:rsid w:val="00E82297"/>
    <w:rsid w:val="00EA621D"/>
    <w:rsid w:val="00EF02A6"/>
    <w:rsid w:val="00EF39FD"/>
    <w:rsid w:val="00F06842"/>
    <w:rsid w:val="00F107FD"/>
    <w:rsid w:val="00F16A88"/>
    <w:rsid w:val="00F51CC9"/>
    <w:rsid w:val="00F6525C"/>
    <w:rsid w:val="00F66AB6"/>
    <w:rsid w:val="00F96905"/>
    <w:rsid w:val="00FA2AC2"/>
    <w:rsid w:val="00FB64A8"/>
    <w:rsid w:val="00FC0010"/>
    <w:rsid w:val="00FC5BEC"/>
    <w:rsid w:val="00FE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184"/>
    <w:rPr>
      <w:lang w:eastAsia="en-US"/>
    </w:rPr>
  </w:style>
  <w:style w:type="paragraph" w:styleId="Ttulo1">
    <w:name w:val="heading 1"/>
    <w:basedOn w:val="Normal"/>
    <w:next w:val="Normal"/>
    <w:link w:val="Ttulo1Char"/>
    <w:qFormat/>
    <w:rsid w:val="00C20D9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semiHidden/>
    <w:unhideWhenUsed/>
    <w:qFormat/>
    <w:rsid w:val="006D3E6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efdenotadefim">
    <w:name w:val="endnote reference"/>
    <w:basedOn w:val="Fontepargpadro"/>
    <w:semiHidden/>
    <w:rsid w:val="008B0184"/>
    <w:rPr>
      <w:vertAlign w:val="superscript"/>
    </w:rPr>
  </w:style>
  <w:style w:type="paragraph" w:styleId="Cabealho">
    <w:name w:val="header"/>
    <w:rsid w:val="008B0184"/>
    <w:pPr>
      <w:tabs>
        <w:tab w:val="center" w:pos="3600"/>
        <w:tab w:val="right" w:pos="7200"/>
      </w:tabs>
      <w:spacing w:line="200" w:lineRule="atLeast"/>
    </w:pPr>
    <w:rPr>
      <w:noProof/>
      <w:lang w:eastAsia="en-US"/>
    </w:rPr>
  </w:style>
  <w:style w:type="paragraph" w:styleId="Rodap">
    <w:name w:val="footer"/>
    <w:basedOn w:val="Cabealho"/>
    <w:rsid w:val="008B0184"/>
  </w:style>
  <w:style w:type="character" w:styleId="Refdenotaderodap">
    <w:name w:val="footnote reference"/>
    <w:semiHidden/>
    <w:rsid w:val="008B0184"/>
    <w:rPr>
      <w:vertAlign w:val="superscript"/>
    </w:rPr>
  </w:style>
  <w:style w:type="paragraph" w:styleId="Textodenotaderodap">
    <w:name w:val="footnote text"/>
    <w:basedOn w:val="Normal"/>
    <w:semiHidden/>
    <w:rsid w:val="008B0184"/>
    <w:rPr>
      <w:rFonts w:ascii="Univers" w:hAnsi="Univers"/>
    </w:rPr>
  </w:style>
  <w:style w:type="character" w:styleId="Hyperlink">
    <w:name w:val="Hyperlink"/>
    <w:basedOn w:val="Fontepargpadro"/>
    <w:rsid w:val="008B0184"/>
    <w:rPr>
      <w:color w:val="0000FF"/>
      <w:u w:val="single"/>
    </w:rPr>
  </w:style>
  <w:style w:type="character" w:customStyle="1" w:styleId="MTEquationSection">
    <w:name w:val="MTEquationSection"/>
    <w:basedOn w:val="Fontepargpadro"/>
    <w:rsid w:val="008B0184"/>
    <w:rPr>
      <w:vanish/>
      <w:color w:val="FF0000"/>
    </w:rPr>
  </w:style>
  <w:style w:type="character" w:styleId="Nmerodepgina">
    <w:name w:val="page number"/>
    <w:basedOn w:val="Fontepargpadr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Fontepargpadro"/>
    <w:rsid w:val="008B0184"/>
    <w:rPr>
      <w:sz w:val="18"/>
      <w:lang w:val="en-US" w:eastAsia="en-US" w:bidi="ar-SA"/>
    </w:rPr>
  </w:style>
  <w:style w:type="character" w:styleId="Refdecomentrio">
    <w:name w:val="annotation reference"/>
    <w:basedOn w:val="Fontepargpadro"/>
    <w:semiHidden/>
    <w:rsid w:val="008B0184"/>
    <w:rPr>
      <w:sz w:val="16"/>
      <w:szCs w:val="16"/>
    </w:rPr>
  </w:style>
  <w:style w:type="paragraph" w:styleId="Textodecomentrio">
    <w:name w:val="annotation text"/>
    <w:basedOn w:val="Normal"/>
    <w:semiHidden/>
    <w:rsid w:val="008B0184"/>
  </w:style>
  <w:style w:type="paragraph" w:styleId="Assuntodocomentrio">
    <w:name w:val="annotation subject"/>
    <w:basedOn w:val="Textodecomentrio"/>
    <w:next w:val="Textodecomentrio"/>
    <w:semiHidden/>
    <w:rsid w:val="008B0184"/>
    <w:rPr>
      <w:b/>
      <w:bCs/>
    </w:rPr>
  </w:style>
  <w:style w:type="paragraph" w:styleId="Textodebalo">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Fontepargpadro"/>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table" w:styleId="Tabelacomgrade">
    <w:name w:val="Table Grid"/>
    <w:basedOn w:val="Tabelanormal"/>
    <w:uiPriority w:val="39"/>
    <w:rsid w:val="00351D08"/>
    <w:rPr>
      <w:rFonts w:asciiTheme="minorHAnsi" w:eastAsiaTheme="minorHAnsi" w:hAnsiTheme="minorHAnsi" w:cstheme="minorBidi"/>
      <w:sz w:val="22"/>
      <w:szCs w:val="22"/>
      <w:lang w:val="pt-B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67432D"/>
    <w:rPr>
      <w:b/>
      <w:bCs/>
    </w:rPr>
  </w:style>
  <w:style w:type="paragraph" w:styleId="Reviso">
    <w:name w:val="Revision"/>
    <w:hidden/>
    <w:uiPriority w:val="99"/>
    <w:semiHidden/>
    <w:rsid w:val="00C86895"/>
    <w:rPr>
      <w:lang w:eastAsia="en-US"/>
    </w:rPr>
  </w:style>
  <w:style w:type="character" w:customStyle="1" w:styleId="Ttulo1Char">
    <w:name w:val="Título 1 Char"/>
    <w:basedOn w:val="Fontepargpadro"/>
    <w:link w:val="Ttulo1"/>
    <w:rsid w:val="00C20D97"/>
    <w:rPr>
      <w:rFonts w:asciiTheme="majorHAnsi" w:eastAsiaTheme="majorEastAsia" w:hAnsiTheme="majorHAnsi" w:cstheme="majorBidi"/>
      <w:color w:val="365F91" w:themeColor="accent1" w:themeShade="BF"/>
      <w:sz w:val="32"/>
      <w:szCs w:val="32"/>
      <w:lang w:eastAsia="en-US"/>
    </w:rPr>
  </w:style>
  <w:style w:type="character" w:styleId="CitaoHTML">
    <w:name w:val="HTML Cite"/>
    <w:basedOn w:val="Fontepargpadro"/>
    <w:uiPriority w:val="99"/>
    <w:semiHidden/>
    <w:unhideWhenUsed/>
    <w:rsid w:val="00C16318"/>
    <w:rPr>
      <w:i/>
      <w:iCs/>
    </w:rPr>
  </w:style>
  <w:style w:type="character" w:styleId="nfase">
    <w:name w:val="Emphasis"/>
    <w:basedOn w:val="Fontepargpadro"/>
    <w:uiPriority w:val="20"/>
    <w:qFormat/>
    <w:rsid w:val="00C16318"/>
    <w:rPr>
      <w:i/>
      <w:iCs/>
    </w:rPr>
  </w:style>
  <w:style w:type="character" w:customStyle="1" w:styleId="react-xocs-alternative-link">
    <w:name w:val="react-xocs-alternative-link"/>
    <w:basedOn w:val="Fontepargpadro"/>
    <w:rsid w:val="00BD3866"/>
  </w:style>
  <w:style w:type="character" w:customStyle="1" w:styleId="given-name">
    <w:name w:val="given-name"/>
    <w:basedOn w:val="Fontepargpadro"/>
    <w:rsid w:val="00BD3866"/>
  </w:style>
  <w:style w:type="character" w:customStyle="1" w:styleId="text">
    <w:name w:val="text"/>
    <w:basedOn w:val="Fontepargpadro"/>
    <w:rsid w:val="00BD3866"/>
  </w:style>
  <w:style w:type="character" w:customStyle="1" w:styleId="Ttulo2Char">
    <w:name w:val="Título 2 Char"/>
    <w:basedOn w:val="Fontepargpadro"/>
    <w:link w:val="Ttulo2"/>
    <w:semiHidden/>
    <w:rsid w:val="006D3E68"/>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875254">
      <w:bodyDiv w:val="1"/>
      <w:marLeft w:val="0"/>
      <w:marRight w:val="0"/>
      <w:marTop w:val="0"/>
      <w:marBottom w:val="0"/>
      <w:divBdr>
        <w:top w:val="none" w:sz="0" w:space="0" w:color="auto"/>
        <w:left w:val="none" w:sz="0" w:space="0" w:color="auto"/>
        <w:bottom w:val="none" w:sz="0" w:space="0" w:color="auto"/>
        <w:right w:val="none" w:sz="0" w:space="0" w:color="auto"/>
      </w:divBdr>
    </w:div>
    <w:div w:id="1365714182">
      <w:bodyDiv w:val="1"/>
      <w:marLeft w:val="0"/>
      <w:marRight w:val="0"/>
      <w:marTop w:val="0"/>
      <w:marBottom w:val="0"/>
      <w:divBdr>
        <w:top w:val="none" w:sz="0" w:space="0" w:color="auto"/>
        <w:left w:val="none" w:sz="0" w:space="0" w:color="auto"/>
        <w:bottom w:val="none" w:sz="0" w:space="0" w:color="auto"/>
        <w:right w:val="none" w:sz="0" w:space="0" w:color="auto"/>
      </w:divBdr>
      <w:divsChild>
        <w:div w:id="1062556426">
          <w:marLeft w:val="0"/>
          <w:marRight w:val="0"/>
          <w:marTop w:val="0"/>
          <w:marBottom w:val="0"/>
          <w:divBdr>
            <w:top w:val="none" w:sz="0" w:space="0" w:color="auto"/>
            <w:left w:val="none" w:sz="0" w:space="0" w:color="auto"/>
            <w:bottom w:val="none" w:sz="0" w:space="0" w:color="auto"/>
            <w:right w:val="none" w:sz="0" w:space="0" w:color="auto"/>
          </w:divBdr>
          <w:divsChild>
            <w:div w:id="258560518">
              <w:marLeft w:val="0"/>
              <w:marRight w:val="0"/>
              <w:marTop w:val="0"/>
              <w:marBottom w:val="0"/>
              <w:divBdr>
                <w:top w:val="none" w:sz="0" w:space="0" w:color="auto"/>
                <w:left w:val="none" w:sz="0" w:space="0" w:color="auto"/>
                <w:bottom w:val="none" w:sz="0" w:space="0" w:color="auto"/>
                <w:right w:val="none" w:sz="0" w:space="0" w:color="auto"/>
              </w:divBdr>
              <w:divsChild>
                <w:div w:id="1342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726199">
      <w:bodyDiv w:val="1"/>
      <w:marLeft w:val="0"/>
      <w:marRight w:val="0"/>
      <w:marTop w:val="0"/>
      <w:marBottom w:val="0"/>
      <w:divBdr>
        <w:top w:val="none" w:sz="0" w:space="0" w:color="auto"/>
        <w:left w:val="none" w:sz="0" w:space="0" w:color="auto"/>
        <w:bottom w:val="none" w:sz="0" w:space="0" w:color="auto"/>
        <w:right w:val="none" w:sz="0" w:space="0" w:color="auto"/>
      </w:divBdr>
    </w:div>
    <w:div w:id="173585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5E17D-15DD-45FA-B1D6-DA7A282A1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2572</TotalTime>
  <Pages>6</Pages>
  <Words>2898</Words>
  <Characters>15680</Characters>
  <Application>Microsoft Office Word</Application>
  <DocSecurity>0</DocSecurity>
  <Lines>320</Lines>
  <Paragraphs>294</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18284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Conta da Microsoft</cp:lastModifiedBy>
  <cp:revision>6</cp:revision>
  <cp:lastPrinted>2023-12-28T19:15:00Z</cp:lastPrinted>
  <dcterms:created xsi:type="dcterms:W3CDTF">2023-12-13T00:28:00Z</dcterms:created>
  <dcterms:modified xsi:type="dcterms:W3CDTF">2023-12-28T21:47:00Z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MSIP_Label_95965d95-ecc0-4720-b759-1f33c42ed7da_Enabled">
    <vt:lpwstr>true</vt:lpwstr>
  </property>
  <property fmtid="{D5CDD505-2E9C-101B-9397-08002B2CF9AE}" pid="11" name="MSIP_Label_95965d95-ecc0-4720-b759-1f33c42ed7da_SetDate">
    <vt:lpwstr>2023-11-23T00:16:32Z</vt:lpwstr>
  </property>
  <property fmtid="{D5CDD505-2E9C-101B-9397-08002B2CF9AE}" pid="12" name="MSIP_Label_95965d95-ecc0-4720-b759-1f33c42ed7da_Method">
    <vt:lpwstr>Standard</vt:lpwstr>
  </property>
  <property fmtid="{D5CDD505-2E9C-101B-9397-08002B2CF9AE}" pid="13" name="MSIP_Label_95965d95-ecc0-4720-b759-1f33c42ed7da_Name">
    <vt:lpwstr>General</vt:lpwstr>
  </property>
  <property fmtid="{D5CDD505-2E9C-101B-9397-08002B2CF9AE}" pid="14" name="MSIP_Label_95965d95-ecc0-4720-b759-1f33c42ed7da_SiteId">
    <vt:lpwstr>a0f29d7e-28cd-4f54-8442-7885aee7c080</vt:lpwstr>
  </property>
  <property fmtid="{D5CDD505-2E9C-101B-9397-08002B2CF9AE}" pid="15" name="MSIP_Label_95965d95-ecc0-4720-b759-1f33c42ed7da_ActionId">
    <vt:lpwstr>5feea122-58fc-4781-b64d-6d2e378560fd</vt:lpwstr>
  </property>
  <property fmtid="{D5CDD505-2E9C-101B-9397-08002B2CF9AE}" pid="16" name="MSIP_Label_95965d95-ecc0-4720-b759-1f33c42ed7da_ContentBits">
    <vt:lpwstr>0</vt:lpwstr>
  </property>
</Properties>
</file>